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非零与缺失值识别规则.docx</w:t>
      </w:r>
    </w:p>
    <w:p>
      <w:r>
        <w:t>一、关键字段不得长期为空：统一社会信用代码、成立时间、注册资本、法定代表人、实际控制人、授信用途、第一还款来源、担保方式等，如为空应视为基础资料不完整。</w:t>
      </w:r>
    </w:p>
    <w:p>
      <w:r>
        <w:t>二、金额类字段异常为零的识别：授信申请金额、主营收入、库存、应收账款、银行流水、担保评估值等若出现与企业规模不匹配的零值，应核实是口径缺失还是业务确实不存在。</w:t>
      </w:r>
    </w:p>
    <w:p>
      <w:r>
        <w:t>三、公开资料客户的特例：若为上市公司公开资料样本，授信金额、担保方式、第一还款来源可能为空，应在报告中明确说明“当前仅用于公开资料分析，不代表真实授信申请要素”。</w:t>
      </w:r>
    </w:p>
    <w:p>
      <w:r>
        <w:t>四、补件优先级：对影响准入判断、还款来源判断、缓释判断的缺失字段，应列为一级补件项。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