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现金流与偿债能力核验要点.docx</w:t>
      </w:r>
    </w:p>
    <w:p>
      <w:r>
        <w:t>一、第一还款来源必须能够落到可验证的经营现金流或稳定回款安排。</w:t>
      </w:r>
    </w:p>
    <w:p>
      <w:r>
        <w:t>二、净利润不能直接等同还款能力，应结合经营现金流净额、银行流水净流入、债务到期结构和资金沉淀水平综合判断。</w:t>
      </w:r>
    </w:p>
    <w:p>
      <w:r>
        <w:t>三、若短期债务明显上升、融资依赖度提高或票据/供应链融资占比过高，应提示流动性压力。</w:t>
      </w:r>
    </w:p>
    <w:p>
      <w:r>
        <w:t>四、若第二还款来源依赖保证或抵质押，应同步核验保证人能力和押品可处置性。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