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存货应收与波动异常预警规则.docx</w:t>
      </w:r>
    </w:p>
    <w:p>
      <w:r>
        <w:t>一、应收账款增速显著快于收入增速时，应关注回款质量、信用政策放宽或收入确认前置。</w:t>
      </w:r>
    </w:p>
    <w:p>
      <w:r>
        <w:t>二、存货余额持续走高而周转变慢时，应关注滞销、跌价准备不足或备货策略失衡。</w:t>
      </w:r>
    </w:p>
    <w:p>
      <w:r>
        <w:t>三、季度或年度数据大幅波动时，应查明是否存在一次性项目、并表变化、政策补贴或非经常性损益影响。</w:t>
      </w:r>
    </w:p>
    <w:p>
      <w:r>
        <w:t>四、对于同比、环比异常跳升或跳降的科目，应要求客户经理补充书面解释并与票据、流水、业务资料交叉验证。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