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B7FD48">
      <w:pPr>
        <w:pStyle w:val="31"/>
      </w:pPr>
      <w:r>
        <w:t>基金投资策略总结（Asig 一月心得整理版）</w:t>
      </w:r>
    </w:p>
    <w:p w14:paraId="26055D2C">
      <w:r>
        <w:br w:type="textWrapping"/>
      </w:r>
      <w:r>
        <w:t>一、定投基金的逻辑与复利原理</w:t>
      </w:r>
      <w:r>
        <w:br w:type="textWrapping"/>
      </w:r>
      <w:r>
        <w:br w:type="textWrapping"/>
      </w:r>
      <w:r>
        <w:t>核心思想：定投不是短期套利，而是用时间换空间。</w:t>
      </w:r>
      <w:r>
        <w:br w:type="textWrapping"/>
      </w:r>
      <w:r>
        <w:t>靠的是：“低位买入 + 平滑成本 + 长期回升 + 复利增长”</w:t>
      </w:r>
      <w:r>
        <w:br w:type="textWrapping"/>
      </w:r>
      <w:r>
        <w:t>- 短期（1~6个月）可能波动甚至亏损；</w:t>
      </w:r>
      <w:r>
        <w:br w:type="textWrapping"/>
      </w:r>
      <w:r>
        <w:t>- 长期（1~3年）则通过复利效应显现收益；</w:t>
      </w:r>
      <w:r>
        <w:br w:type="textWrapping"/>
      </w:r>
      <w:r>
        <w:t>- 复利本质是：收益再投资，让钱生钱。</w:t>
      </w:r>
      <w:r>
        <w:br w:type="textWrapping"/>
      </w:r>
      <w:r>
        <w:t>举例：若年化 8%，每月定投 1000 元，10 年后≈18.3 万元，其中复利收益约 6 万元。</w:t>
      </w:r>
      <w:r>
        <w:br w:type="textWrapping"/>
      </w:r>
      <w:r>
        <w:br w:type="textWrapping"/>
      </w:r>
      <w:r>
        <w:t>二、基金买入时机与净值判断</w:t>
      </w:r>
      <w:r>
        <w:br w:type="textWrapping"/>
      </w:r>
      <w:r>
        <w:br w:type="textWrapping"/>
      </w:r>
      <w:r>
        <w:t>买入点越接近基金净值中位数，风险越低。</w:t>
      </w:r>
      <w:r>
        <w:br w:type="textWrapping"/>
      </w:r>
      <w:r>
        <w:t>- 当基金净值接近历史中位值或低位（分位点&lt;50%） → 安全区间，可加仓。</w:t>
      </w:r>
      <w:r>
        <w:br w:type="textWrapping"/>
      </w:r>
      <w:r>
        <w:t>- 当基金净值高于历史80%分位 → 风险上升，应谨慎或分批止盈。</w:t>
      </w:r>
      <w:r>
        <w:br w:type="textWrapping"/>
      </w:r>
      <w:r>
        <w:t>工具：支付宝 / 天天基金 APP 中的“净值估值分位”功能。</w:t>
      </w:r>
      <w:r>
        <w:br w:type="textWrapping"/>
      </w:r>
      <w:r>
        <w:br w:type="textWrapping"/>
      </w:r>
      <w:r>
        <w:t>三、波动率与策略匹配</w:t>
      </w:r>
      <w:r>
        <w:br w:type="textWrapping"/>
      </w:r>
      <w:r>
        <w:br w:type="textWrapping"/>
      </w:r>
      <w:r>
        <w:t>不同基金的波动幅度不同，应该采取不同策略。</w:t>
      </w:r>
      <w:r>
        <w:br w:type="textWrapping"/>
      </w:r>
      <w:r>
        <w:t>| 基金类型 | 波动特征 | 适合策略 | 举例 |</w:t>
      </w:r>
      <w:r>
        <w:br w:type="textWrapping"/>
      </w:r>
      <w:r>
        <w:t>|-----------|------------|------------|--------|</w:t>
      </w:r>
      <w:r>
        <w:br w:type="textWrapping"/>
      </w:r>
      <w:r>
        <w:t>| 宽基指数基金 | 波动小、趋势稳定 | 长期定投 | 沪深300、中证500、标普500、纳斯达克100 |</w:t>
      </w:r>
      <w:r>
        <w:br w:type="textWrapping"/>
      </w:r>
      <w:r>
        <w:t>| 行业主题基金 | 波动大、趋势强烈 | 短线波段、高抛低吸 | 新能源、半导体、医药、AI |</w:t>
      </w:r>
      <w:r>
        <w:br w:type="textWrapping"/>
      </w:r>
      <w:r>
        <w:br w:type="textWrapping"/>
      </w:r>
      <w:r>
        <w:t>四、短期波段与仓位控制策略</w:t>
      </w:r>
      <w:r>
        <w:br w:type="textWrapping"/>
      </w:r>
      <w:r>
        <w:br w:type="textWrapping"/>
      </w:r>
      <w:r>
        <w:t>逻辑：涨多减仓、跌多加仓，保持资金弹性。</w:t>
      </w:r>
      <w:r>
        <w:br w:type="textWrapping"/>
      </w:r>
      <w:r>
        <w:t>| 市场状态 | 操作建议 | 目的 |</w:t>
      </w:r>
      <w:r>
        <w:br w:type="textWrapping"/>
      </w:r>
      <w:r>
        <w:t>|------------|------------|--------|</w:t>
      </w:r>
      <w:r>
        <w:br w:type="textWrapping"/>
      </w:r>
      <w:r>
        <w:t>| 短期暴涨 ≥5% | 减仓 30%~50% | 锁定利润、防止回撤 |</w:t>
      </w:r>
      <w:r>
        <w:br w:type="textWrapping"/>
      </w:r>
      <w:r>
        <w:t>| 连涨数日处高位（分位≥80%） | 继续减仓 | 控制风险 |</w:t>
      </w:r>
      <w:r>
        <w:br w:type="textWrapping"/>
      </w:r>
      <w:r>
        <w:t>| 回调 5%~8% 企稳 | 加仓 30% | 平滑成本 |</w:t>
      </w:r>
      <w:r>
        <w:br w:type="textWrapping"/>
      </w:r>
      <w:r>
        <w:t>| 跌破关键支撑 | 暂停加仓 | 控制损失 |</w:t>
      </w:r>
      <w:r>
        <w:br w:type="textWrapping"/>
      </w:r>
      <w:r>
        <w:br w:type="textWrapping"/>
      </w:r>
      <w:r>
        <w:t>五、风险控制与心态管理</w:t>
      </w:r>
      <w:r>
        <w:br w:type="textWrapping"/>
      </w:r>
      <w:r>
        <w:br w:type="textWrapping"/>
      </w:r>
      <w:r>
        <w:t>1. 资金分层：核心仓（定投类）、机动仓（波段类）、备用金（现金类）</w:t>
      </w:r>
      <w:r>
        <w:br w:type="textWrapping"/>
      </w:r>
      <w:r>
        <w:t>2. 情绪纪律：不追涨杀跌；不盲目听消息；交易前先定“买点、卖点、加减仓标准”</w:t>
      </w:r>
      <w:r>
        <w:br w:type="textWrapping"/>
      </w:r>
      <w:r>
        <w:t>3. 复盘记录：每月记录一次买入价、净值、涨跌幅、心理状态</w:t>
      </w:r>
      <w:r>
        <w:br w:type="textWrapping"/>
      </w:r>
      <w:r>
        <w:br w:type="textWrapping"/>
      </w:r>
      <w:r>
        <w:t>六、你当前的投资体系雏形（总结）</w:t>
      </w:r>
      <w:r>
        <w:br w:type="textWrapping"/>
      </w:r>
      <w:r>
        <w:br w:type="textWrapping"/>
      </w:r>
      <w:r>
        <w:t>| 维度 | 已建立的思维 |</w:t>
      </w:r>
      <w:r>
        <w:br w:type="textWrapping"/>
      </w:r>
      <w:r>
        <w:t>|------|----------------|</w:t>
      </w:r>
      <w:r>
        <w:br w:type="textWrapping"/>
      </w:r>
      <w:r>
        <w:t>| ✅ 估值意识 | 买入靠近净值中位数 |</w:t>
      </w:r>
      <w:r>
        <w:br w:type="textWrapping"/>
      </w:r>
      <w:r>
        <w:t>| ✅ 风险意识 | 波动高 → 短线策略；波动低 → 长线策略 |</w:t>
      </w:r>
      <w:r>
        <w:br w:type="textWrapping"/>
      </w:r>
      <w:r>
        <w:t>| ✅ 仓位管理 | 涨多减仓、跌多加仓 |</w:t>
      </w:r>
      <w:r>
        <w:br w:type="textWrapping"/>
      </w:r>
      <w:r>
        <w:t>| ✅ 复利意识 | 时间 + 均衡投入 = 稳健回报 |</w:t>
      </w:r>
      <w:r>
        <w:br w:type="textWrapping"/>
      </w:r>
      <w:r>
        <w:t>| ✅ 心态成熟 | 理性分析，避免情绪操作 |</w:t>
      </w:r>
      <w:r>
        <w:br w:type="textWrapping"/>
      </w:r>
      <w:r>
        <w:br w:type="textWrapping"/>
      </w:r>
      <w:r>
        <w:t>总结一句话：</w:t>
      </w:r>
      <w:r>
        <w:br w:type="textWrapping"/>
      </w:r>
      <w:r>
        <w:br w:type="textWrapping"/>
      </w:r>
      <w:r>
        <w:t>“短线靠节奏，长线靠时间。”</w:t>
      </w:r>
      <w:r>
        <w:br w:type="textWrapping"/>
      </w:r>
      <w:r>
        <w:t>你已经在用“理性 + 数据 + 纪律”来取代“感觉 + 情绪 + 盲动”。</w:t>
      </w:r>
      <w:r>
        <w:br w:type="textWrapping"/>
      </w:r>
    </w:p>
    <w:p w14:paraId="627FCB03"/>
    <w:p w14:paraId="3C643AD5"/>
    <w:p w14:paraId="2BE6516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重要的：</w:t>
      </w:r>
    </w:p>
    <w:p w14:paraId="0E4E84B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不要对事务抱有不切实际的幻想，不要盲目乐观，不要盲目乐观，不要盲目乐观</w:t>
      </w:r>
    </w:p>
    <w:p w14:paraId="3097D6C1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不要追涨杀跌，不要追涨杀跌，不要追涨杀跌</w:t>
      </w:r>
    </w:p>
    <w:p w14:paraId="19A89FB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市场总有上涨的时候，不要因为市场上涨而改变原来的计划，保持理性！</w:t>
      </w:r>
    </w:p>
    <w:p w14:paraId="3620D20F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不要一次性重仓，要给自己留有一定的子弹。资金小规模进行投入</w:t>
      </w:r>
    </w:p>
    <w:p w14:paraId="113411F7">
      <w:pPr>
        <w:rPr>
          <w:rFonts w:hint="eastAsia" w:eastAsia="宋体"/>
          <w:lang w:val="en-US" w:eastAsia="zh-CN"/>
        </w:rPr>
      </w:pPr>
    </w:p>
    <w:p w14:paraId="6F3D739C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跌的越狠，机会越大，怕的是慢跌，时刻记住跌停时间</w:t>
      </w:r>
    </w:p>
    <w:p w14:paraId="776411CE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多去了解指数贡献点，指数贡献点就是打明牌</w:t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F5E1381"/>
    <w:rsid w:val="63BF1818"/>
    <w:rsid w:val="69754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824</Words>
  <Characters>982</Characters>
  <Lines>0</Lines>
  <Paragraphs>0</Paragraphs>
  <TotalTime>4</TotalTime>
  <ScaleCrop>false</ScaleCrop>
  <LinksUpToDate>false</LinksUpToDate>
  <CharactersWithSpaces>1116</CharactersWithSpaces>
  <Application>WPS Office_12.1.0.23122_F1E327BC-269C-435d-A152-05C5408002CA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WPS_1661952094</cp:lastModifiedBy>
  <dcterms:modified xsi:type="dcterms:W3CDTF">2025-10-30T11:08:43Z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eyJoZGlkIjoiOGNjNDZlMjc0MzIzM2Q1ODFlNzk0MzAxOThjZjdjYWYiLCJ1c2VySWQiOiIxNDA3MTM3Njk0In0=</vt:lpwstr>
  </property>
  <property fmtid="{D5CDD505-2E9C-101B-9397-08002B2CF9AE}" pid="3" name="KSOProductBuildVer">
    <vt:lpwstr>2052-12.1.0.23122</vt:lpwstr>
  </property>
  <property fmtid="{D5CDD505-2E9C-101B-9397-08002B2CF9AE}" pid="4" name="ICV">
    <vt:lpwstr>0D6A543730D544A2A913342BD6924E23_12</vt:lpwstr>
  </property>
</Properties>
</file>