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9AE09" w14:textId="47635F4F" w:rsidR="00B4015F" w:rsidRPr="00E70D24" w:rsidRDefault="00E70D24" w:rsidP="00E70D24">
      <w:pPr>
        <w:pStyle w:val="MStitle"/>
        <w:jc w:val="left"/>
        <w:rPr>
          <w:lang w:val="en-US"/>
        </w:rPr>
      </w:pPr>
      <w:proofErr w:type="spellStart"/>
      <w:r w:rsidRPr="00E70D24">
        <w:t>HiClimaX</w:t>
      </w:r>
      <w:proofErr w:type="spellEnd"/>
      <w:r w:rsidRPr="00E70D24">
        <w:t>: A High-resolution Climate Downscaling</w:t>
      </w:r>
      <w:r>
        <w:rPr>
          <w:rFonts w:ascii="MS Mincho" w:eastAsia="MS Mincho" w:hAnsi="MS Mincho" w:cs="MS Mincho"/>
        </w:rPr>
        <w:t xml:space="preserve"> </w:t>
      </w:r>
      <w:r w:rsidRPr="00E70D24">
        <w:t>Multi-Approach System</w:t>
      </w:r>
    </w:p>
    <w:p w14:paraId="538659D3" w14:textId="472C20AD" w:rsidR="00B4015F" w:rsidRPr="00C26311" w:rsidRDefault="00E70D24" w:rsidP="00450DB9">
      <w:pPr>
        <w:pStyle w:val="Authors"/>
      </w:pPr>
      <w:r>
        <w:t>Quang-Van</w:t>
      </w:r>
      <w:r w:rsidR="00B4015F" w:rsidRPr="00C26311">
        <w:t xml:space="preserve"> </w:t>
      </w:r>
      <w:r>
        <w:t>Doan</w:t>
      </w:r>
      <w:r w:rsidR="00B4015F" w:rsidRPr="00C26311">
        <w:rPr>
          <w:vertAlign w:val="superscript"/>
        </w:rPr>
        <w:t>1</w:t>
      </w:r>
      <w:r w:rsidR="00B4015F" w:rsidRPr="00C26311">
        <w:t xml:space="preserve">, </w:t>
      </w:r>
    </w:p>
    <w:p w14:paraId="6430C339" w14:textId="416A7460" w:rsidR="00B4015F" w:rsidRDefault="00B4015F" w:rsidP="000A1B66">
      <w:pPr>
        <w:pStyle w:val="Affiliation"/>
      </w:pPr>
      <w:r w:rsidRPr="000A1B66">
        <w:rPr>
          <w:vertAlign w:val="superscript"/>
        </w:rPr>
        <w:t>1</w:t>
      </w:r>
      <w:r w:rsidR="00E70D24">
        <w:t>Center for Computational Sciences</w:t>
      </w:r>
      <w:r w:rsidR="000A1B66">
        <w:t>, Universi</w:t>
      </w:r>
      <w:r w:rsidR="00E70D24">
        <w:t>ty of Tsukuba</w:t>
      </w:r>
      <w:r w:rsidR="000A1B66">
        <w:t xml:space="preserve">, </w:t>
      </w:r>
      <w:r w:rsidR="00E70D24">
        <w:t>Tsukuba</w:t>
      </w:r>
      <w:r w:rsidR="000A1B66">
        <w:t xml:space="preserve">, </w:t>
      </w:r>
      <w:r w:rsidR="00E70D24">
        <w:t>305-0006</w:t>
      </w:r>
      <w:r w:rsidR="000A1B66">
        <w:t xml:space="preserve">, </w:t>
      </w:r>
      <w:r w:rsidR="00E70D24">
        <w:t>Japan</w:t>
      </w:r>
    </w:p>
    <w:p w14:paraId="3DBE5E2A" w14:textId="77777777" w:rsidR="000A1B66" w:rsidRDefault="000A1B66" w:rsidP="00450DB9">
      <w:pPr>
        <w:pStyle w:val="Affiliation"/>
      </w:pPr>
      <w:r w:rsidRPr="000A1B66">
        <w:rPr>
          <w:vertAlign w:val="superscript"/>
        </w:rPr>
        <w:t>2</w:t>
      </w:r>
      <w:r>
        <w:t>Laboratory example, city, postal code, country</w:t>
      </w:r>
    </w:p>
    <w:p w14:paraId="4B2F3FC8" w14:textId="2A42D0A0" w:rsidR="000A1B66" w:rsidRDefault="000A1B66" w:rsidP="008E213F">
      <w:pPr>
        <w:pStyle w:val="Correspondence"/>
      </w:pPr>
      <w:r w:rsidRPr="000A1B66">
        <w:rPr>
          <w:i/>
        </w:rPr>
        <w:t>Correspondence to</w:t>
      </w:r>
      <w:r>
        <w:t xml:space="preserve">: </w:t>
      </w:r>
      <w:r w:rsidR="00E70D24">
        <w:t>Quang-Van</w:t>
      </w:r>
      <w:r>
        <w:t xml:space="preserve"> </w:t>
      </w:r>
      <w:r w:rsidR="00E70D24">
        <w:t>Doan</w:t>
      </w:r>
      <w:r>
        <w:t xml:space="preserve"> (</w:t>
      </w:r>
      <w:r w:rsidR="00E70D24">
        <w:t>doan.van.gb</w:t>
      </w:r>
      <w:r>
        <w:t>@</w:t>
      </w:r>
      <w:r w:rsidR="00E70D24">
        <w:t>u.tsukuba.ac.jp</w:t>
      </w:r>
      <w:r>
        <w:t>)</w:t>
      </w:r>
    </w:p>
    <w:p w14:paraId="1E9B6D92" w14:textId="68912EE9" w:rsidR="00E70D24" w:rsidRPr="00E70D24" w:rsidRDefault="000A1B66" w:rsidP="00B4015F">
      <w:r w:rsidRPr="000A1B66">
        <w:rPr>
          <w:b/>
        </w:rPr>
        <w:t>Abstract.</w:t>
      </w:r>
      <w:r>
        <w:t xml:space="preserve"> </w:t>
      </w:r>
      <w:r w:rsidR="00E70D24" w:rsidRPr="00E70D24">
        <w:rPr>
          <w:lang w:val="en-JP"/>
        </w:rPr>
        <w:t>Urban areas are at the forefront of climate change impacts. Fine-scale urban climate change predictions remain a challenge due to the complexity of urban environments and uncertainties in climate modeling. This study introduces HiClimaX (A High-resolution Climate Downscaling Multi-Approach System)—the first-ever comprehensive toolbox designed to generate high-resolution climate change projections tailored cities. By integrating multiple state-of-the-art approaches, including i) direct dynamical downscaling; ii) pseudo-global warming; iii) statistical dynamical downscaling; iv) land-surface-physics-based downscaling; v) statistical downscaling vi) AI-based downscaling, HiClimaX offers a streamlined, accessible, extendable and transparent framework. The core innovation of HiClimaX is to bring together diverse approaches into ensemble framework. This implimentation ensures robust and reliable outputs, effectively “storylining” climate change scenarios for urban settings, providing stakeholders with actionable insights tailored to urban adaptation and mitigation strategies. This pioneering framework marks a significant step forward in bridging the gap between global climate models and urban-scale applications, ensuring cities are equipped to thrive in a changing climate.</w:t>
      </w:r>
    </w:p>
    <w:p w14:paraId="41868303" w14:textId="121E07EE" w:rsidR="00C82F79" w:rsidRDefault="00C82F79" w:rsidP="00C82F79">
      <w:pPr>
        <w:pStyle w:val="Heading1"/>
      </w:pPr>
      <w:r>
        <w:t xml:space="preserve">1 </w:t>
      </w:r>
      <w:r w:rsidR="00E70D24">
        <w:t>Introduction</w:t>
      </w:r>
    </w:p>
    <w:p w14:paraId="17D572FC" w14:textId="77777777" w:rsidR="00E70D24" w:rsidRPr="0093419A" w:rsidRDefault="00E70D24" w:rsidP="00E70D24">
      <w:pPr>
        <w:rPr>
          <w:rFonts w:asciiTheme="minorHAnsi" w:hAnsiTheme="minorHAnsi" w:cstheme="minorHAnsi"/>
          <w:szCs w:val="20"/>
        </w:rPr>
      </w:pPr>
      <w:r w:rsidRPr="0093419A">
        <w:rPr>
          <w:rFonts w:asciiTheme="minorHAnsi" w:hAnsiTheme="minorHAnsi" w:cstheme="minorHAnsi"/>
          <w:szCs w:val="20"/>
        </w:rPr>
        <w:t>Urban areas are increasingly recognized as critical hotspots of climate change impacts. More than half of the world’s population already lives in cities, and this proportion is expected to rise to more than two-thirds by mid-century (</w:t>
      </w:r>
      <w:r w:rsidRPr="0093419A">
        <w:rPr>
          <w:rFonts w:asciiTheme="minorHAnsi" w:hAnsiTheme="minorHAnsi" w:cstheme="minorHAnsi"/>
          <w:szCs w:val="20"/>
          <w:highlight w:val="yellow"/>
        </w:rPr>
        <w:t>UN-Habitat, 2020</w:t>
      </w:r>
      <w:r w:rsidRPr="0093419A">
        <w:rPr>
          <w:rFonts w:asciiTheme="minorHAnsi" w:hAnsiTheme="minorHAnsi" w:cstheme="minorHAnsi"/>
          <w:szCs w:val="20"/>
        </w:rPr>
        <w:t xml:space="preserve">). Cities bring together dense populations, complex infrastructure, and concentrated economic activity. This concentration makes them particularly vulnerable to climate hazards including heatwaves, extreme rainfall, flooding, and tropical cyclones </w:t>
      </w:r>
      <w:r w:rsidRPr="0093419A">
        <w:rPr>
          <w:rFonts w:asciiTheme="minorHAnsi" w:hAnsiTheme="minorHAnsi" w:cstheme="minorHAnsi"/>
          <w:szCs w:val="20"/>
        </w:rPr>
        <w:fldChar w:fldCharType="begin"/>
      </w:r>
      <w:r w:rsidRPr="0093419A">
        <w:rPr>
          <w:rFonts w:asciiTheme="minorHAnsi" w:hAnsiTheme="minorHAnsi" w:cstheme="minorHAnsi"/>
          <w:szCs w:val="20"/>
        </w:rPr>
        <w:instrText xml:space="preserve"> ADDIN ZOTERO_ITEM CSL_CITATION {"citationID":"CRFQd61o","properties":{"formattedCitation":"(IPCC AR6, 2022)","plainCitation":"(IPCC AR6, 2022)","noteIndex":0},"citationItems":[{"id":260,"uris":["http://zotero.org/users/7451647/items/FWZ9SPY4"],"itemData":{"id":260,"type":"post-weblog","title":"AR6 Synthesis Report: Climate Change 2022 — IPCC","title-short":"AR6 Synthesis Report","URL":"https://www.ipcc.ch/report/sixth-assessment-report-cycle/","author":[{"family":"IPCC AR6","given":""}],"accessed":{"date-parts":[["2021",8,8]]},"issued":{"date-parts":[["2022"]]}}}],"schema":"https://github.com/citation-style-language/schema/raw/master/csl-citation.json"} </w:instrText>
      </w:r>
      <w:r w:rsidRPr="0093419A">
        <w:rPr>
          <w:rFonts w:asciiTheme="minorHAnsi" w:hAnsiTheme="minorHAnsi" w:cstheme="minorHAnsi"/>
          <w:szCs w:val="20"/>
        </w:rPr>
        <w:fldChar w:fldCharType="separate"/>
      </w:r>
      <w:r w:rsidRPr="0093419A">
        <w:rPr>
          <w:rFonts w:asciiTheme="minorHAnsi" w:hAnsiTheme="minorHAnsi" w:cstheme="minorHAnsi"/>
          <w:noProof/>
          <w:szCs w:val="20"/>
        </w:rPr>
        <w:t>(IPCC AR6, 2022)</w:t>
      </w:r>
      <w:r w:rsidRPr="0093419A">
        <w:rPr>
          <w:rFonts w:asciiTheme="minorHAnsi" w:hAnsiTheme="minorHAnsi" w:cstheme="minorHAnsi"/>
          <w:szCs w:val="20"/>
        </w:rPr>
        <w:fldChar w:fldCharType="end"/>
      </w:r>
      <w:r w:rsidRPr="0093419A">
        <w:rPr>
          <w:rFonts w:asciiTheme="minorHAnsi" w:hAnsiTheme="minorHAnsi" w:cstheme="minorHAnsi"/>
          <w:szCs w:val="20"/>
        </w:rPr>
        <w:t xml:space="preserve">. The interaction between global warming and local urban processes generates additional complexity. Urban heat islands amplify background warming during extreme events like heatwaves </w:t>
      </w:r>
      <w:r w:rsidRPr="0093419A">
        <w:rPr>
          <w:rFonts w:asciiTheme="minorHAnsi" w:hAnsiTheme="minorHAnsi" w:cstheme="minorHAnsi"/>
          <w:szCs w:val="20"/>
        </w:rPr>
        <w:fldChar w:fldCharType="begin"/>
      </w:r>
      <w:r w:rsidRPr="0093419A">
        <w:rPr>
          <w:rFonts w:asciiTheme="minorHAnsi" w:hAnsiTheme="minorHAnsi" w:cstheme="minorHAnsi"/>
          <w:szCs w:val="20"/>
        </w:rPr>
        <w:instrText xml:space="preserve"> ADDIN ZOTERO_ITEM CSL_CITATION {"citationID":"gsIJQX0n","properties":{"formattedCitation":"(Xue {\\i{}et al.}, 2024)","plainCitation":"(Xue et al., 2024)","noteIndex":0},"citationItems":[{"id":4919,"uris":["http://zotero.org/users/7451647/items/N5BW37EE"],"itemData":{"id":4919,"type":"article-journal","abstract":"Researchers have recently focused on the interplay of the urban heat island (UHI) effect and heat waves (HWs). However, the synergies of these two phenomena remains inconclusive at present. To address this gap, this study investigated UHIs and HWs synergies during the last 30 years in the Tokyo metropolitan area, through a unique and novel approach named Land-Surface-Physics-Based Downscaling (LSP-DS). LSP-DS integrates the widely used Noah-Multiparameterization (Noah-MP) land-surface model coupled with urban canopy-process physics, aiming to conduct high-resolution, long-term urban-specific simulations with much less computational resources. Our comprehensive analysis combining observation data and numerous LSP-DS simulations confirms exacerbated UHIs during HWs. Specifically, HWs amplify the temperature differences between urban and rural environments, which is quantified by UHI intensity (UHII). During HWs, UHII increased more at night in inland areas and more during daytime in coastal areas. HWs present especially a heightened threat to coastal regions where daytime UHII increased by approximately 1°C during HWs. The Bowen ratio can explain the increase in the daytime UHII, and the daytime accumulated storage heat increase during HWs can explain the increase in nighttime UHII. Based on future projections of the increasing frequency of high temperatures, our findings highlight the impending heat-related health challenges faced by urban residents.","container-title":"Journal of Geophysical Research: Atmospheres","DOI":"10.1029/2023JD040531","ISSN":"2169-8996","issue":"13","language":"en","license":"© 2024. The Author(s).","note":"_eprint: https://onlinelibrary.wiley.com/doi/pdf/10.1029/2023JD040531","page":"e2023JD040531","source":"Wiley Online Library","title":"Insights Into Urban Heat Island and Heat Waves Synergies Revealed by a Land-Surface-Physics-Based Downscaling Method","volume":"129","author":[{"family":"Xue","given":"Lingbo"},{"family":"Doan","given":"Quang-Van"},{"family":"Kusaka","given":"Hiroyuki"},{"family":"He","given":"Cenlin"},{"family":"Chen","given":"Fei"}],"issued":{"date-parts":[["2024",8]]}}}],"schema":"https://github.com/citation-style-language/schema/raw/master/csl-citation.json"} </w:instrText>
      </w:r>
      <w:r w:rsidRPr="0093419A">
        <w:rPr>
          <w:rFonts w:asciiTheme="minorHAnsi" w:hAnsiTheme="minorHAnsi" w:cstheme="minorHAnsi"/>
          <w:szCs w:val="20"/>
        </w:rPr>
        <w:fldChar w:fldCharType="separate"/>
      </w:r>
      <w:r w:rsidRPr="0093419A">
        <w:rPr>
          <w:rFonts w:asciiTheme="minorHAnsi" w:hAnsiTheme="minorHAnsi" w:cstheme="minorHAnsi"/>
          <w:szCs w:val="20"/>
          <w:lang w:val="en-US"/>
        </w:rPr>
        <w:t xml:space="preserve">(Xue </w:t>
      </w:r>
      <w:r w:rsidRPr="0093419A">
        <w:rPr>
          <w:rFonts w:asciiTheme="minorHAnsi" w:hAnsiTheme="minorHAnsi" w:cstheme="minorHAnsi"/>
          <w:i/>
          <w:iCs/>
          <w:szCs w:val="20"/>
          <w:lang w:val="en-US"/>
        </w:rPr>
        <w:t>et al.</w:t>
      </w:r>
      <w:r w:rsidRPr="0093419A">
        <w:rPr>
          <w:rFonts w:asciiTheme="minorHAnsi" w:hAnsiTheme="minorHAnsi" w:cstheme="minorHAnsi"/>
          <w:szCs w:val="20"/>
          <w:lang w:val="en-US"/>
        </w:rPr>
        <w:t>, 2024)</w:t>
      </w:r>
      <w:r w:rsidRPr="0093419A">
        <w:rPr>
          <w:rFonts w:asciiTheme="minorHAnsi" w:hAnsiTheme="minorHAnsi" w:cstheme="minorHAnsi"/>
          <w:szCs w:val="20"/>
        </w:rPr>
        <w:fldChar w:fldCharType="end"/>
      </w:r>
      <w:r w:rsidRPr="0093419A">
        <w:rPr>
          <w:rFonts w:asciiTheme="minorHAnsi" w:hAnsiTheme="minorHAnsi" w:cstheme="minorHAnsi"/>
          <w:szCs w:val="20"/>
        </w:rPr>
        <w:t xml:space="preserve">, land–atmosphere feedbacks reshape precipitation patterns </w:t>
      </w:r>
      <w:r w:rsidRPr="0093419A">
        <w:rPr>
          <w:rFonts w:asciiTheme="minorHAnsi" w:hAnsiTheme="minorHAnsi" w:cstheme="minorHAnsi"/>
          <w:szCs w:val="20"/>
        </w:rPr>
        <w:fldChar w:fldCharType="begin"/>
      </w:r>
      <w:r w:rsidRPr="0093419A">
        <w:rPr>
          <w:rFonts w:asciiTheme="minorHAnsi" w:hAnsiTheme="minorHAnsi" w:cstheme="minorHAnsi"/>
          <w:szCs w:val="20"/>
        </w:rPr>
        <w:instrText xml:space="preserve"> ADDIN ZOTERO_ITEM CSL_CITATION {"citationID":"ohY68Wx0","properties":{"formattedCitation":"(Shepherd and Burian, 2003; Doan {\\i{}et al.}, 2021)","plainCitation":"(Shepherd and Burian, 2003; Doan et al., 2021)","noteIndex":0},"citationItems":[{"id":5179,"uris":["http://zotero.org/users/7451647/items/HSDCKFNZ"],"itemData":{"id":5179,"type":"article-journal","abstract":"There is increasing evidence that large coastal cities, like Houston, Texas, can influence weather through complex urban land use–weather–climate feedbacks. Recent work in the literature establishes the existence of enhanced lightning activity over and downwind of Houston. Since lightning is a signature of convection in the atmosphere, it would seem reasonable that urbanized Houston would also impact the distribution of rainfall. This paper presents results using data from the world’s first satellite-based precipitation radar (PR) aboard the Tropical Rainfall Measuring Mission (TRMM) and ground-based rain gauges to quantify rainfall anomalies that we hypothesize to be linked to extensive urbanization in the Houston area. It is one of the first rigorous efforts to quantify an urban-induced rainfall anomaly near a major U.S. coastal city and one of the first applications of space-borne radar data to the problem. Quantitative results reveal the presence of annual and warm season rainfall anomalies over and downwind of Houston. Several hypotheses have surfaced to explain how the sea breeze, coastline curvature, or urbanized Houston environment interacts with the atmospheric system to impact rainfall. This paper presents evidence that the urban heat island’s influence is of primary significance in causing the observed precipitation anomalies. Precipitation is a key link in the global water cycle and a proper understanding of its temporal and spatial character will have broad implications in ongoing climate diagnostics and prediction, Global Water and Energy Cycle (GWEC) analysis and modeling, weather forecasting, freshwater resource management, and land–atmosphere–ocean interface processes.","ISSN":"1087-3562","language":"en","note":"section: Earth Interactions","source":"journals.ametsoc.org","title":"Detection of Urban-Induced Rainfall Anomalies in a Major Coastal City","URL":"https://journals.ametsoc.org/view/journals/eint/7/4/1087-3562_2003_007_0001_douira_2.0.co_2.xml","author":[{"family":"Shepherd","given":"J. Marshall"},{"family":"Burian","given":"Steven J."}],"accessed":{"date-parts":[["2025",9,22]]},"issued":{"date-parts":[["2003",4,1]]}}},{"id":256,"uris":["http://zotero.org/users/7451647/items/6H4ARQYB"],"itemData":{"id":256,"type":"paper-conference","abstract":"This study presents the first results to project the future change in extreme convection rainfall in a tropical large city such as Singapore. The convection-permitting WRF model is employed for dynamical downscaling the future change in rainfall considering 2050s and 2090s from the ensemble mean of CMIP5 GCMs outcomes with two scenarios RCP4.5 and RCP8.5. Pseudo Global Warming (PGW) approach is used for creating initial and boundary atmosphere conditions to force the WRF. The response of extreme rainfall occurrences in terms of both frequency and intensity are analyzed to answer two critical questions: (i) is there a robust signature of global warming on localized heavy rain at a city-scale; (ii) how will the urban effect on future rainfall change when background climate becomes warmer?  The physical mechanisms behind these changes are also analyzed here. This study adds value to the ongoing discussion about urban extreme precipitation, focusing on how it will change in future. The study will benefit urban planners to prepare appropriate plans to handle the challenge caused by global climate change.","event-title":"AOGS 2021 18th Annual Meeting","title":"Response of Extreme Convective Rainfall in a Tropical City to the Future Warming Climate","URL":"https://www.asiaoceania.org/aogs2021/public.asp?page=home.html","author":[{"family":"Doan","given":"Quang-Van"},{"family":"Chen","given":"Fei"},{"family":"Kusaka","given":"Hiroyuki"},{"family":"Khan","given":"Ansar"},{"family":"Dipankar","given":"Anurag"},{"family":"Hamdi","given":"Rafiq"},{"family":"Gupta","given":"Akhilesh"},{"family":"Niyogi","given":"Dev"}],"accessed":{"date-parts":[["2021",5,25]]},"issued":{"date-parts":[["2021",8,1]]}}}],"schema":"https://github.com/citation-style-language/schema/raw/master/csl-citation.json"} </w:instrText>
      </w:r>
      <w:r w:rsidRPr="0093419A">
        <w:rPr>
          <w:rFonts w:asciiTheme="minorHAnsi" w:hAnsiTheme="minorHAnsi" w:cstheme="minorHAnsi"/>
          <w:szCs w:val="20"/>
        </w:rPr>
        <w:fldChar w:fldCharType="separate"/>
      </w:r>
      <w:r w:rsidRPr="0093419A">
        <w:rPr>
          <w:rFonts w:asciiTheme="minorHAnsi" w:hAnsiTheme="minorHAnsi" w:cstheme="minorHAnsi"/>
          <w:szCs w:val="20"/>
          <w:lang w:val="en-US"/>
        </w:rPr>
        <w:t xml:space="preserve">(Shepherd and Burian, 2003; Doan </w:t>
      </w:r>
      <w:r w:rsidRPr="0093419A">
        <w:rPr>
          <w:rFonts w:asciiTheme="minorHAnsi" w:hAnsiTheme="minorHAnsi" w:cstheme="minorHAnsi"/>
          <w:i/>
          <w:iCs/>
          <w:szCs w:val="20"/>
          <w:lang w:val="en-US"/>
        </w:rPr>
        <w:t>et al.</w:t>
      </w:r>
      <w:r w:rsidRPr="0093419A">
        <w:rPr>
          <w:rFonts w:asciiTheme="minorHAnsi" w:hAnsiTheme="minorHAnsi" w:cstheme="minorHAnsi"/>
          <w:szCs w:val="20"/>
          <w:lang w:val="en-US"/>
        </w:rPr>
        <w:t>, 2021)</w:t>
      </w:r>
      <w:r w:rsidRPr="0093419A">
        <w:rPr>
          <w:rFonts w:asciiTheme="minorHAnsi" w:hAnsiTheme="minorHAnsi" w:cstheme="minorHAnsi"/>
          <w:szCs w:val="20"/>
        </w:rPr>
        <w:fldChar w:fldCharType="end"/>
      </w:r>
      <w:r w:rsidRPr="0093419A">
        <w:rPr>
          <w:rFonts w:asciiTheme="minorHAnsi" w:hAnsiTheme="minorHAnsi" w:cstheme="minorHAnsi"/>
          <w:szCs w:val="20"/>
        </w:rPr>
        <w:t xml:space="preserve">, and cascading effects across energy, health, and transport systems intensify risks </w:t>
      </w:r>
      <w:r w:rsidRPr="0093419A">
        <w:rPr>
          <w:rFonts w:asciiTheme="minorHAnsi" w:hAnsiTheme="minorHAnsi" w:cstheme="minorHAnsi"/>
          <w:szCs w:val="20"/>
        </w:rPr>
        <w:fldChar w:fldCharType="begin"/>
      </w:r>
      <w:r w:rsidRPr="0093419A">
        <w:rPr>
          <w:rFonts w:asciiTheme="minorHAnsi" w:hAnsiTheme="minorHAnsi" w:cstheme="minorHAnsi"/>
          <w:szCs w:val="20"/>
        </w:rPr>
        <w:instrText xml:space="preserve"> ADDIN ZOTERO_ITEM CSL_CITATION {"citationID":"DPAMJpUz","properties":{"formattedCitation":"(Oke {\\i{}et al.}, 2017)","plainCitation":"(Oke et al., 2017)","noteIndex":0},"citationItems":[{"id":1052,"uris":["http://zotero.org/users/7451647/items/FR5BMZJL"],"itemData":{"id":1052,"type":"book","ISBN":"0-521-84950-0","publisher":"Cambridge University Press","title":"Urban climates","author":[{"family":"Oke","given":"Timothy R."},{"family":"Mills","given":"Gerald"},{"family":"Christen","given":"Andreas"},{"family":"Voogt","given":"James A."}],"issued":{"date-parts":[["2017"]]}}}],"schema":"https://github.com/citation-style-language/schema/raw/master/csl-citation.json"} </w:instrText>
      </w:r>
      <w:r w:rsidRPr="0093419A">
        <w:rPr>
          <w:rFonts w:asciiTheme="minorHAnsi" w:hAnsiTheme="minorHAnsi" w:cstheme="minorHAnsi"/>
          <w:szCs w:val="20"/>
        </w:rPr>
        <w:fldChar w:fldCharType="separate"/>
      </w:r>
      <w:r w:rsidRPr="0093419A">
        <w:rPr>
          <w:rFonts w:asciiTheme="minorHAnsi" w:hAnsiTheme="minorHAnsi" w:cstheme="minorHAnsi"/>
          <w:szCs w:val="20"/>
          <w:lang w:val="en-US"/>
        </w:rPr>
        <w:t xml:space="preserve">(Oke </w:t>
      </w:r>
      <w:r w:rsidRPr="0093419A">
        <w:rPr>
          <w:rFonts w:asciiTheme="minorHAnsi" w:hAnsiTheme="minorHAnsi" w:cstheme="minorHAnsi"/>
          <w:i/>
          <w:iCs/>
          <w:szCs w:val="20"/>
          <w:lang w:val="en-US"/>
        </w:rPr>
        <w:t>et al.</w:t>
      </w:r>
      <w:r w:rsidRPr="0093419A">
        <w:rPr>
          <w:rFonts w:asciiTheme="minorHAnsi" w:hAnsiTheme="minorHAnsi" w:cstheme="minorHAnsi"/>
          <w:szCs w:val="20"/>
          <w:lang w:val="en-US"/>
        </w:rPr>
        <w:t>, 2017)</w:t>
      </w:r>
      <w:r w:rsidRPr="0093419A">
        <w:rPr>
          <w:rFonts w:asciiTheme="minorHAnsi" w:hAnsiTheme="minorHAnsi" w:cstheme="minorHAnsi"/>
          <w:szCs w:val="20"/>
        </w:rPr>
        <w:fldChar w:fldCharType="end"/>
      </w:r>
      <w:r w:rsidRPr="0093419A">
        <w:rPr>
          <w:rFonts w:asciiTheme="minorHAnsi" w:hAnsiTheme="minorHAnsi" w:cstheme="minorHAnsi"/>
          <w:szCs w:val="20"/>
        </w:rPr>
        <w:t xml:space="preserve">. </w:t>
      </w:r>
    </w:p>
    <w:p w14:paraId="72A8FD58" w14:textId="77777777" w:rsidR="00E70D24" w:rsidRDefault="00E70D24" w:rsidP="00E70D24">
      <w:r>
        <w:t xml:space="preserve">There is critical gap between the urgency of cities to adapt and mitigate climate risks and the accessibility to reliable and actionable climate information at the scale of cities. Global climate models (GCMs) are designed for planetary to continental scales, with horizontal resolutions of 25–100 km </w:t>
      </w:r>
      <w:r w:rsidRPr="00E70D24">
        <w:rPr>
          <w:rFonts w:asciiTheme="minorHAnsi" w:hAnsiTheme="minorHAnsi" w:cstheme="minorHAnsi"/>
          <w:szCs w:val="20"/>
        </w:rPr>
        <w:fldChar w:fldCharType="begin"/>
      </w:r>
      <w:r w:rsidRPr="00E70D24">
        <w:rPr>
          <w:rFonts w:asciiTheme="minorHAnsi" w:hAnsiTheme="minorHAnsi" w:cstheme="minorHAnsi"/>
          <w:szCs w:val="20"/>
        </w:rPr>
        <w:instrText xml:space="preserve"> ADDIN ZOTERO_ITEM CSL_CITATION {"citationID":"wGjySX0k","properties":{"formattedCitation":"(Iles {\\i{}et al.}, 2020; Mishra {\\i{}et al.}, 2023)","plainCitation":"(Iles et al., 2020; Mishra et al., 2023)","noteIndex":0},"citationItems":[{"id":5146,"uris":["http://zotero.org/users/7451647/items/DEQ9VCHQ"],"itemData":{"id":5146,"type":"article-journal","abstract":"Many climate extremes, including heatwaves and heavy precipitation events, are projected to worsen under climate change, with important impacts for society. Future projections required for adaptation are often based on climate model simulations. Given finite resources, trade-offs must be made concerning model resolution, ensemble size, and level of model complexity. Here we focus on the resolution component. A given resolution can be achieved over a region using either global climate models (GCMs) or at lower cost using regional climate models (RCMs) that dynamically downscale coarser GCMs. Both approaches to increasing resolution may better capture small-scale processes and features (downscaling effect), but increased GCM resolution may also improve the representation of the large-scale atmospheric circulation (upscaling effect). The size of this upscaling effect is therefore important for deciding modelling strategies. Here we evaluate the benefits of increased model resolution for both global and regional climate models for simulating temperature, precipitation, and wind extremes over Europe at resolutions that could currently be realistically used for coordinated sets of climate projections at the pan-European scale. First we examine the benefits of regional downscaling by comparing EURO-CORDEX simulations at 12.5 and 50&amp;thinsp;km resolution to their coarser CMIP5 driving simulations. Secondly, we compare global-scale HadGEM3-A simulations at three resolutions (130, 60, and 25&amp;thinsp;km). Finally, we separate out resolution-dependent differences for HadGEM3-A into downscaling and upscaling components using a circulation analogue technique. Results suggest limited benefits of increased resolution for heatwaves, except in reducing hot biases over mountainous regions. Precipitation extremes are sensitive to resolution, particularly over complex orography, with larger totals and heavier tails of the distribution at higher resolution, particularly in the CORDEX vs. CMIP5 analysis. CMIP5 models underestimate precipitation extremes, whilst CORDEX simulations overestimate compared to E-OBS, particularly at 12.5&amp;thinsp;km, but results are sensitive to the observational dataset used, with the MESAN reanalysis giving higher totals and heavier tails than E-OBS. Wind extremes are somewhat stronger and heavier tailed at higher resolution, except in coastal regions where large coastal grid boxes spread strong ocean winds further over land. The circulation analogue analysis suggests that differences with resolution for the HadGEM3-A GCM are primarily due to downscaling effects.","container-title":"Geoscientific Model Development","DOI":"10.5194/gmd-13-5583-2020","ISSN":"1991-959X","issue":"11","language":"English","note":"publisher: Copernicus GmbH","page":"5583-5607","source":"Copernicus Online Journals","title":"The benefits of increasing resolution in global and regional climate simulations for European climate extremes","volume":"13","author":[{"family":"Iles","given":"Carley E."},{"family":"Vautard","given":"Robert"},{"family":"Strachan","given":"Jane"},{"family":"Joussaume","given":"Sylvie"},{"family":"Eggen","given":"Bernd R."},{"family":"Hewitt","given":"Chris D."}],"issued":{"date-parts":[["2020",11,18]]}}},{"id":5147,"uris":["http://zotero.org/users/7451647/items/Z53VH38C"],"itemData":{"id":5147,"type":"article-journal","abstract":"The Mediterranean region (MR) is one of the climate change hot spots, posing serious threats to society. The insufficient resolution of the global climate models limits their capability to resolve the complex topography over MR, resulting in a large bias in climate variables. This study examines the performance of four Coupled Model Intercomparison Project phase six models from the High-Resolution Model Intercomparison Project (HighResMIP) in reproducing the Mediterranean climate. A special focus is put on the role of oceanic and atmospheric model horizontal resolution and spread among the models. Various aspects, relevant to air-sea interactions and precipitation are examined, including the mean, extremes, and associated mechanisms. All HighResMIP models reasonably well capture the large-scale oceanic and atmospheric characteristics, but there is a sizable model-to-model difference. The Hadley Centre Global Environment Model and European Centre for Medium-Range Weather Forecasts generally perform better than the other models at comparable atmospheric and oceanic horizontal resolutions. A finer oceanic resolution improves the representation not only of oceanic characteristics (i.e., sea surface temperature, SST) but also of the atmospheric processes (wind and precipitation). Likewise, increasing atmospheric model resolution benefits various atmospheric and ocean characteristics. Over some sub-basins of the Mediterranean Sea, the intensification of surface wind speed results in the deepening of the ocean's mixed layer leading to cooling, indicating negative feedback in Wind-SST. In contrast, in other regions, the warmer SST results in the intensification of wind (positive feedback in Wind-SST).","container-title":"Journal of Geophysical Research: Atmospheres","DOI":"10.1029/2022JD037812","ISSN":"2169-8996","issue":"2","language":"en","license":"© 2023. The Authors.","note":"_eprint: https://agupubs.onlinelibrary.wiley.com/doi/pdf/10.1029/2022JD037812","page":"e2022JD037812","source":"Wiley Online Library","title":"Does Increasing Climate Model Horizontal Resolution Be Beneficial for the Mediterranean Region?: Multimodel Evaluation Framework for High-Resolution Model Intercomparison Project","title-short":"Does Increasing Climate Model Horizontal Resolution Be Beneficial for the Mediterranean Region?","volume":"128","author":[{"family":"Mishra","given":"Alok Kumar"},{"family":"Jangir","given":"Babita"},{"family":"Strobach","given":"Ehud"}],"issued":{"date-parts":[["2023"]]}}}],"schema":"https://github.com/citation-style-language/schema/raw/master/csl-citation.json"} </w:instrText>
      </w:r>
      <w:r w:rsidRPr="00E70D24">
        <w:rPr>
          <w:rFonts w:asciiTheme="minorHAnsi" w:hAnsiTheme="minorHAnsi" w:cstheme="minorHAnsi"/>
          <w:szCs w:val="20"/>
        </w:rPr>
        <w:fldChar w:fldCharType="separate"/>
      </w:r>
      <w:r w:rsidRPr="00E70D24">
        <w:rPr>
          <w:rFonts w:asciiTheme="minorHAnsi" w:hAnsiTheme="minorHAnsi" w:cstheme="minorHAnsi"/>
          <w:szCs w:val="20"/>
          <w:lang w:val="en-US"/>
        </w:rPr>
        <w:t xml:space="preserve">(Iles </w:t>
      </w:r>
      <w:r w:rsidRPr="00E70D24">
        <w:rPr>
          <w:rFonts w:asciiTheme="minorHAnsi" w:hAnsiTheme="minorHAnsi" w:cstheme="minorHAnsi"/>
          <w:i/>
          <w:iCs/>
          <w:szCs w:val="20"/>
          <w:lang w:val="en-US"/>
        </w:rPr>
        <w:t>et al.</w:t>
      </w:r>
      <w:r w:rsidRPr="00E70D24">
        <w:rPr>
          <w:rFonts w:asciiTheme="minorHAnsi" w:hAnsiTheme="minorHAnsi" w:cstheme="minorHAnsi"/>
          <w:szCs w:val="20"/>
          <w:lang w:val="en-US"/>
        </w:rPr>
        <w:t xml:space="preserve">, 2020; Mishra </w:t>
      </w:r>
      <w:r w:rsidRPr="00E70D24">
        <w:rPr>
          <w:rFonts w:asciiTheme="minorHAnsi" w:hAnsiTheme="minorHAnsi" w:cstheme="minorHAnsi"/>
          <w:i/>
          <w:iCs/>
          <w:szCs w:val="20"/>
          <w:lang w:val="en-US"/>
        </w:rPr>
        <w:t>et al.</w:t>
      </w:r>
      <w:r w:rsidRPr="00E70D24">
        <w:rPr>
          <w:rFonts w:asciiTheme="minorHAnsi" w:hAnsiTheme="minorHAnsi" w:cstheme="minorHAnsi"/>
          <w:szCs w:val="20"/>
          <w:lang w:val="en-US"/>
        </w:rPr>
        <w:t>, 2023)</w:t>
      </w:r>
      <w:r w:rsidRPr="00E70D24">
        <w:rPr>
          <w:rFonts w:asciiTheme="minorHAnsi" w:hAnsiTheme="minorHAnsi" w:cstheme="minorHAnsi"/>
          <w:szCs w:val="20"/>
        </w:rPr>
        <w:fldChar w:fldCharType="end"/>
      </w:r>
      <w:r w:rsidRPr="00E70D24">
        <w:rPr>
          <w:rFonts w:asciiTheme="minorHAnsi" w:hAnsiTheme="minorHAnsi" w:cstheme="minorHAnsi"/>
          <w:szCs w:val="20"/>
        </w:rPr>
        <w:t>.</w:t>
      </w:r>
      <w:r>
        <w:t xml:space="preserve"> At such coarse scales, urban forms </w:t>
      </w:r>
      <w:r>
        <w:lastRenderedPageBreak/>
        <w:t xml:space="preserve">and heterogeneity cannot be represented explicitly. To address these gaps, a wide range of downscaling methods have been developed </w:t>
      </w:r>
      <w:r>
        <w:fldChar w:fldCharType="begin"/>
      </w:r>
      <w:r>
        <w:instrText xml:space="preserve"> ADDIN ZOTERO_ITEM CSL_CITATION {"citationID":"y3SmQd1P","properties":{"formattedCitation":"(Wilby and Dawson, 2013; Rummukainen, 2016)","plainCitation":"(Wilby and Dawson, 2013; Rummukainen, 2016)","noteIndex":0},"citationItems":[{"id":5152,"uris":["http://zotero.org/users/7451647/items/5DELHIEZ"],"itemData":{"id":5152,"type":"article-journal","abstract":"The Statistical DownScaling Model (SDSM) is a freely available tool that produces high resolution climate change scenarios. The first public version of the software was released in 2001 and since then there have been over 170 documented studies worldwide. This article recounts the underlining conceptual and technical evolution of SDSM, drawing upon independent assessments of model capabilities. These studies show that SDSM yields reliable estimates of extreme temperatures, seasonal precipitation totals, areal and inter-site precipitation behaviour. Frequency estimation of extreme precipitation amounts in dry seasons is less reliable. A meta-analysis of SDSM outputs shows a preponderance of research in Canada, China and the UK, whereas the United States and Australasia are under-represented. In line with the wider downscaling community, the most favoured sector of analysis is water and flood risk management which accounts for nearly half of all output; research in other sectors such as agriculture, built environment and human health is less prominent but growing. Over 50% of the studies are concerned with production of climate scenarios, comparison or technical refinement of downscaling methodologies. In contrast, there is relatively little evidence of application to adaptation planning and climate risk management. We assert that further attention to physically meaningful quantities such as wind speeds, wave heights, phenological and hazard metrics could improve uptake of downscaled products. Chronic uncertainty in boundary forcing continues to undermine confidence in downscaled scenarios so these tools are best used for sensitivity testing and adaptation options appraisal. Copyright © 2012 Royal Meteorological Society","container-title":"International Journal of Climatology","DOI":"10.1002/joc.3544","ISSN":"1097-0088","issue":"7","language":"en","license":"Copyright © 2012 Royal Meteorological Society","note":"_eprint: https://rmets.onlinelibrary.wiley.com/doi/pdf/10.1002/joc.3544","page":"1707-1719","source":"Wiley Online Library","title":"The Statistical DownScaling Model: insights from one decade of application","title-short":"The Statistical DownScaling Model","volume":"33","author":[{"family":"Wilby","given":"R. L."},{"family":"Dawson","given":"C. W."}],"issued":{"date-parts":[["2013"]]}}},{"id":5157,"uris":["http://zotero.org/users/7451647/items/JLEIH6MM"],"itemData":{"id":5157,"type":"article-journal","abstract":"Regional climate modeling is a dynamical downscaling technique applied to the results of global climate models (GCMs) in order to acquire more information on climate simulations and climate change projections. GCMs and regional climate models (RCMs) have undergone considerable development over the past few decades, and both have increased in resolution. The higher-resolution edge of RCMs compared to GCMs still remains, however. This has been demonstrated in a number of specific studies. As GCMs operate on relatively coarse resolutions, they do not resolve more variable land forms and similar features that shape regional-scale climates. RCMs operate on higher resolutions than GCMs, by a factor of 2–10. Some RCMs now explore resolutions down to 1–5 km. This adds value in regions with variable orography, land–sea and other contrasts, as well as in capturing sharp, short-duration and extreme events. In contrast, large-scale and time-averaged fields, not least over smooth terrain and on scales that have been already skillfully resolved in GCMs, are not much affected. RCMs also generate additional detail compared to GCMs when in climate projection mode. Compared to the present-day climate for which observations exist, here the added value aspect is more complex to evaluate. Nevertheless, added value is meaningfully underlined when there is a clear physical context for it to appear in. In addition to climate modeling and model evaluation-related added value considerations, a significant relevant aspect of added value is the provision of regional scale information, including climate change projections, for climate impact, adaptation, and vulnerability research. WIREs Clim Change 2016, 7:145–159. doi: 10.1002/wcc.378 This article is categorized under: Climate Models and Modeling &gt; Knowledge Generation with Models","container-title":"WIREs Climate Change","DOI":"10.1002/wcc.378","ISSN":"1757-7799","issue":"1","language":"en","license":"© 2015 Wiley Periodicals, Inc.","note":"_eprint: https://wires.onlinelibrary.wiley.com/doi/pdf/10.1002/wcc.378","page":"145-159","source":"Wiley Online Library","title":"Added value in regional climate modeling","volume":"7","author":[{"family":"Rummukainen","given":"Markku"}],"issued":{"date-parts":[["2016"]]}}}],"schema":"https://github.com/citation-style-language/schema/raw/master/csl-citation.json"} </w:instrText>
      </w:r>
      <w:r>
        <w:fldChar w:fldCharType="separate"/>
      </w:r>
      <w:r>
        <w:rPr>
          <w:noProof/>
        </w:rPr>
        <w:t>(Wilby and Dawson, 2013; Rummukainen, 2016)</w:t>
      </w:r>
      <w:r>
        <w:fldChar w:fldCharType="end"/>
      </w:r>
      <w:r>
        <w:t xml:space="preserve">. Dynamical, statistical, and hybrid approaches each provide detailed information and insights into regional climate change, yet having their own advantages and limitations </w:t>
      </w:r>
      <w:r>
        <w:fldChar w:fldCharType="begin"/>
      </w:r>
      <w:r>
        <w:instrText xml:space="preserve"> ADDIN ZOTERO_ITEM CSL_CITATION {"citationID":"3m9MPcRG","properties":{"formattedCitation":"(Wilby and Dawson, 2013)","plainCitation":"(Wilby and Dawson, 2013)","noteIndex":0},"citationItems":[{"id":5152,"uris":["http://zotero.org/users/7451647/items/5DELHIEZ"],"itemData":{"id":5152,"type":"article-journal","abstract":"The Statistical DownScaling Model (SDSM) is a freely available tool that produces high resolution climate change scenarios. The first public version of the software was released in 2001 and since then there have been over 170 documented studies worldwide. This article recounts the underlining conceptual and technical evolution of SDSM, drawing upon independent assessments of model capabilities. These studies show that SDSM yields reliable estimates of extreme temperatures, seasonal precipitation totals, areal and inter-site precipitation behaviour. Frequency estimation of extreme precipitation amounts in dry seasons is less reliable. A meta-analysis of SDSM outputs shows a preponderance of research in Canada, China and the UK, whereas the United States and Australasia are under-represented. In line with the wider downscaling community, the most favoured sector of analysis is water and flood risk management which accounts for nearly half of all output; research in other sectors such as agriculture, built environment and human health is less prominent but growing. Over 50% of the studies are concerned with production of climate scenarios, comparison or technical refinement of downscaling methodologies. In contrast, there is relatively little evidence of application to adaptation planning and climate risk management. We assert that further attention to physically meaningful quantities such as wind speeds, wave heights, phenological and hazard metrics could improve uptake of downscaled products. Chronic uncertainty in boundary forcing continues to undermine confidence in downscaled scenarios so these tools are best used for sensitivity testing and adaptation options appraisal. Copyright © 2012 Royal Meteorological Society","container-title":"International Journal of Climatology","DOI":"10.1002/joc.3544","ISSN":"1097-0088","issue":"7","language":"en","license":"Copyright © 2012 Royal Meteorological Society","note":"_eprint: https://rmets.onlinelibrary.wiley.com/doi/pdf/10.1002/joc.3544","page":"1707-1719","source":"Wiley Online Library","title":"The Statistical DownScaling Model: insights from one decade of application","title-short":"The Statistical DownScaling Model","volume":"33","author":[{"family":"Wilby","given":"R. L."},{"family":"Dawson","given":"C. W."}],"issued":{"date-parts":[["2013"]]}}}],"schema":"https://github.com/citation-style-language/schema/raw/master/csl-citation.json"} </w:instrText>
      </w:r>
      <w:r>
        <w:fldChar w:fldCharType="separate"/>
      </w:r>
      <w:r>
        <w:rPr>
          <w:noProof/>
        </w:rPr>
        <w:t>(Wilby and Dawson, 2013)</w:t>
      </w:r>
      <w:r>
        <w:fldChar w:fldCharType="end"/>
      </w:r>
      <w:r>
        <w:t>. Important to note, they are typically applied in isolation, limiting opportunities for systematic comparison, ensemble integration, or transparent treatment of methodological uncertainty.</w:t>
      </w:r>
    </w:p>
    <w:p w14:paraId="580C03F7" w14:textId="77777777" w:rsidR="00E70D24" w:rsidRPr="0093419A" w:rsidRDefault="00E70D24" w:rsidP="00E70D24">
      <w:pPr>
        <w:rPr>
          <w:rFonts w:asciiTheme="minorHAnsi" w:hAnsiTheme="minorHAnsi" w:cstheme="minorHAnsi"/>
          <w:szCs w:val="20"/>
        </w:rPr>
      </w:pPr>
      <w:r w:rsidRPr="0093419A">
        <w:rPr>
          <w:rFonts w:asciiTheme="minorHAnsi" w:hAnsiTheme="minorHAnsi" w:cstheme="minorHAnsi"/>
          <w:szCs w:val="20"/>
        </w:rPr>
        <w:t xml:space="preserve">Progress in urban climate downscaling has been constrained by several structural gaps. A first limitation is the fragmentation of methods. Many studies depend on one or two approaches, such as dynamical downscaling with a regional climate model </w:t>
      </w:r>
      <w:r w:rsidRPr="0093419A">
        <w:rPr>
          <w:rFonts w:asciiTheme="minorHAnsi" w:hAnsiTheme="minorHAnsi" w:cstheme="minorHAnsi"/>
          <w:szCs w:val="20"/>
        </w:rPr>
        <w:fldChar w:fldCharType="begin"/>
      </w:r>
      <w:r w:rsidRPr="0093419A">
        <w:rPr>
          <w:rFonts w:asciiTheme="minorHAnsi" w:hAnsiTheme="minorHAnsi" w:cstheme="minorHAnsi"/>
          <w:szCs w:val="20"/>
        </w:rPr>
        <w:instrText xml:space="preserve"> ADDIN ZOTERO_ITEM CSL_CITATION {"citationID":"g0yP7wLc","properties":{"formattedCitation":"(Hamdi {\\i{}et al.}, 2014; Devadarshini {\\i{}et al.}, 2025)","plainCitation":"(Hamdi et al., 2014; Devadarshini et al., 2025)","noteIndex":0},"citationItems":[{"id":1358,"uris":["http://zotero.org/users/7451647/items/WCB9HJXW"],"itemData":{"id":1358,"type":"article-journal","abstract":"A new high-resolution dynamical downscaling strategy to examine how rural and urban areas respond to change in future climate, is presented. The regional climate simulations have been performed with a new version of the limited-area model of the ARPEGE-IFS system running at 4 km resolution coupled with the Town Energy Balance (TEB) scheme. To downscale further the regional climate projections to a urban scale, at 1-km resolution, a stand-alone surface scheme is employed in offline mode. We performed downscaling simulations according to three model set-ups: (1) reference run, where TEB is not activated neither in 4 km simulations nor in 1 km urban simulation, (2) offline run, where TEB is activated only for 1 km urban simulation and (3) inline run, where TEB is activated both for regional and urban simulations. The applicability of this method is demonstrated for Brussels Capital Region, Belgium. For present climate conditions, another set of simulations were performed using European Center for Medium-Range Weather Forecasts global reanalysis ERA40 data. Results from our simulations indicate that the reference and offline runs have comparable values of daytime and nocturnal urban heat island (UHI) and lower values than the inline run. The inline values are closer to observations. In the future climate, under and A1B emission scenario, the three downscaling methods project a decrease of daytime UHI between −0.24 and −0.20 °C, however, their responses are different for nocturnal UHI: (1) reference run values remains unaltered, (2) for the offline runs, the frequency of present climate weak nocturnal UHI decreases to the benefit of negative UHIs leading to a significant decrease in the nocturnal UHI over the city and (3) for the inline run, nocturnal UHIs stays always positive but the frequency of the strong UHI decreases significantly in the future by 1 °C. The physical explanation is put forth. Copyright © 2013 Royal Meteorological Society","container-title":"International Journal of Climatology","DOI":"10.1002/joc.3734","ISSN":"1097-0088","issue":"4","language":"en","note":"_eprint: https://onlinelibrary.wiley.com/doi/pdf/10.1002/joc.3734","page":"978-999","source":"Wiley Online Library","title":"Assessment of three dynamical urban climate downscaling methods: Brussels's future urban heat island under an A1B emission scenario","title-short":"Assessment of three dynamical urban climate downscaling methods","volume":"34","author":[{"family":"Hamdi","given":"R."},{"family":"Van de Vyver","given":"H."},{"family":"De Troch","given":"R."},{"family":"Termonia","given":"P."}],"issued":{"date-parts":[["2014"]]}}},{"id":5169,"uris":["http://zotero.org/users/7451647/items/RLSW4TMY"],"itemData":{"id":5169,"type":"article-journal","abstract":"The Coupled Model Intercomparison Project Phase 6 (CMIP6) will help enhance the understanding of future climate trends and extreme weather affecting agriculture and society. However, the accuracy of regional climate assessments is limited by low-resolution datasets and model uncertainties, necessitating downscaling and bias correction for better projections. Relevant literature was sourced from Scopus and assessed using the Protocol Search Appraisal Synthesis Analysis Report (PSALSAR) involving Population, Intervention, Comparator, Outcome, and Context (PICOC) for protocol identification and Preferred Reporting Items for Systematic Review (PRISMA) for article scrutiny. This review examined 278 articles, of which 39 % focused on extreme climate analysis, 31 % on performance evaluation, 13 % on downscaling with extremes, 11 % on downscaling, and 7 % on evaluation with extremes. Publications surged since 2020, with a 36.3 % increase by 2023. Approximately 68 % of the publications were in Asia, often evaluating model performance using statistical metrics such as root mean square error (RMSE), correlation coefficient (CC), and percent bias (PBIAS), with station data as a reference. This review further explores how global climate projections, specifically surface temperature increases across Shared Socioeconomic Pathways (SSPs): 1.8 °C (SSP1-2.6), 2.7 °C (SSP2-4.5), 3.6 °C (SSP3-7.0), and 4.4 °C (SSP5-8.5). Annual precipitation is projected to increase in both frequency and intensity, particularly in far future (2071–2100). Some studies have highlighted that the minimum temperature is expected to show greater increase, than maximum temperature across regions, leading to frequent extreme weather events. In contrast, the extreme occurrences are heterogeneous, with some regions expecting increasing trends and others decreasing, depending on their geographical condition. These findings highlight the significance of downscaling climate models, because their accuracy relies on geographical features, grid resolution, and reference datasets. Precise, finer-scale projections are needed for location-specific extreme weather predictions, aiding agricultural planning, and risk management.","container-title":"Environmental Development","DOI":"10.1016/j.envdev.2025.101280","ISSN":"2211-4645","journalAbbreviation":"Environmental Development","page":"101280","source":"ScienceDirect","title":"A systematic review of climate downscaling and extremes in Coupled Model Intercomparison Project 6 (CMIP6)","volume":"56","author":[{"family":"Devadarshini","given":"Elangovan"},{"family":"Geethalakshmi","given":"Vellingiri"},{"family":"McDermid","given":"Sonali Prabhat"},{"family":"Bhuvaneswari","given":"Kulanthaivel"},{"family":"Mohan Kumar","given":"Shanmugam"},{"family":"Sathyamoorthy","given":"Nagaranai Karuppasamy"},{"family":"Senthilnathan","given":"Samiappan"},{"family":"Senthilraja","given":"Kandasamy"},{"family":"Anandhi","given":"Venugopal"}],"issued":{"date-parts":[["2025",9,1]]}}}],"schema":"https://github.com/citation-style-language/schema/raw/master/csl-citation.json"} </w:instrText>
      </w:r>
      <w:r w:rsidRPr="0093419A">
        <w:rPr>
          <w:rFonts w:asciiTheme="minorHAnsi" w:hAnsiTheme="minorHAnsi" w:cstheme="minorHAnsi"/>
          <w:szCs w:val="20"/>
        </w:rPr>
        <w:fldChar w:fldCharType="separate"/>
      </w:r>
      <w:r w:rsidRPr="0093419A">
        <w:rPr>
          <w:rFonts w:asciiTheme="minorHAnsi" w:hAnsiTheme="minorHAnsi" w:cstheme="minorHAnsi"/>
          <w:szCs w:val="20"/>
          <w:lang w:val="en-US"/>
        </w:rPr>
        <w:t xml:space="preserve">(Hamdi </w:t>
      </w:r>
      <w:r w:rsidRPr="0093419A">
        <w:rPr>
          <w:rFonts w:asciiTheme="minorHAnsi" w:hAnsiTheme="minorHAnsi" w:cstheme="minorHAnsi"/>
          <w:i/>
          <w:iCs/>
          <w:szCs w:val="20"/>
          <w:lang w:val="en-US"/>
        </w:rPr>
        <w:t>et al.</w:t>
      </w:r>
      <w:r w:rsidRPr="0093419A">
        <w:rPr>
          <w:rFonts w:asciiTheme="minorHAnsi" w:hAnsiTheme="minorHAnsi" w:cstheme="minorHAnsi"/>
          <w:szCs w:val="20"/>
          <w:lang w:val="en-US"/>
        </w:rPr>
        <w:t xml:space="preserve">, 2014; Devadarshini </w:t>
      </w:r>
      <w:r w:rsidRPr="0093419A">
        <w:rPr>
          <w:rFonts w:asciiTheme="minorHAnsi" w:hAnsiTheme="minorHAnsi" w:cstheme="minorHAnsi"/>
          <w:i/>
          <w:iCs/>
          <w:szCs w:val="20"/>
          <w:lang w:val="en-US"/>
        </w:rPr>
        <w:t>et al.</w:t>
      </w:r>
      <w:r w:rsidRPr="0093419A">
        <w:rPr>
          <w:rFonts w:asciiTheme="minorHAnsi" w:hAnsiTheme="minorHAnsi" w:cstheme="minorHAnsi"/>
          <w:szCs w:val="20"/>
          <w:lang w:val="en-US"/>
        </w:rPr>
        <w:t>, 2025)</w:t>
      </w:r>
      <w:r w:rsidRPr="0093419A">
        <w:rPr>
          <w:rFonts w:asciiTheme="minorHAnsi" w:hAnsiTheme="minorHAnsi" w:cstheme="minorHAnsi"/>
          <w:szCs w:val="20"/>
        </w:rPr>
        <w:fldChar w:fldCharType="end"/>
      </w:r>
      <w:r w:rsidRPr="0093419A">
        <w:rPr>
          <w:rFonts w:asciiTheme="minorHAnsi" w:hAnsiTheme="minorHAnsi" w:cstheme="minorHAnsi"/>
          <w:szCs w:val="20"/>
        </w:rPr>
        <w:t xml:space="preserve"> or statistical regression from reanalysis predictors </w:t>
      </w:r>
      <w:r w:rsidRPr="0093419A">
        <w:rPr>
          <w:rFonts w:asciiTheme="minorHAnsi" w:hAnsiTheme="minorHAnsi" w:cstheme="minorHAnsi"/>
          <w:szCs w:val="20"/>
        </w:rPr>
        <w:fldChar w:fldCharType="begin"/>
      </w:r>
      <w:r w:rsidRPr="0093419A">
        <w:rPr>
          <w:rFonts w:asciiTheme="minorHAnsi" w:hAnsiTheme="minorHAnsi" w:cstheme="minorHAnsi"/>
          <w:szCs w:val="20"/>
        </w:rPr>
        <w:instrText xml:space="preserve"> ADDIN ZOTERO_ITEM CSL_CITATION {"citationID":"ksWFggUx","properties":{"formattedCitation":"(Guti\\uc0\\u233{}rrez {\\i{}et al.}, 2013; Tabari {\\i{}et al.}, 2021)","plainCitation":"(Gutiérrez et al., 2013; Tabari et al., 2021)","noteIndex":0},"citationItems":[{"id":938,"uris":["http://zotero.org/users/7451647/items/229F9BTD"],"itemData":{"id":938,"type":"article-journal","abstract":"Abstract The performance of statistical downscaling (SD) techniques is critically reassessed with respect to their robust applicability in climate change studies. To this end, in addition to standard accuracy measures and distributional similarity scores, the authors estimate the robustness of the methods under warming climate conditions working with anomalous warm historical periods. This validation framework is applied to intercompare the performances of 12 different SD methods (from the analog, weather typing, and regression families) for downscaling minimum and maximum temperatures in Spain. First, a calibration of these methods is performed in terms of both geographical domains and predictor sets; the results are highly dependent on the latter, with optimum predictor sets including near-surface temperature data (in particular 2-m temperature), which appropriately discriminate cold episodes related to temperature inversion in the lower troposphere. Although regression methods perform best in terms of correlation, analog and weather generator approaches are more appropriate for reproducing the observed distributions, especially in case of wintertime minimum temperature. However, the latter two families significantly underestimate the temperature anomalies of the warm periods considered in this work. This underestimation is found to be critical when considering the warming signal in the late twenty-first century as given by a global climate model [the ECHAM5–Max Planck Institute (MPI) model]. In this case, the different downscaling methods provide warming values with differences in the range of 1°C, in agreement with the robustness significance values. Therefore, the proposed test is a promising technique for detecting lack of robustness in statistical downscaling methods applied in climate change studies.","container-title":"Journal of Climate","DOI":"10.1175/JCLI-D-11-00687.1","ISSN":"0894-8755, 1520-0442","issue":"1","language":"EN","note":"publisher: American Meteorological Society\nsection: Journal of Climate","page":"171-188","source":"journals.ametsoc.org","title":"Reassessing Statistical Downscaling Techniques for Their Robust Application under Climate Change Conditions","volume":"26","author":[{"family":"Gutiérrez","given":"J. M."},{"family":"San-Martín","given":"D."},{"family":"Brands","given":"S."},{"family":"Manzanas","given":"R."},{"family":"Herrera","given":"S."}],"issued":{"date-parts":[["2013",1,1]]}}},{"id":5167,"uris":["http://zotero.org/users/7451647/items/EWVBJDDD"],"itemData":{"id":5167,"type":"article-journal","abstract":"General circulation models (GCMs) are the primary tools for evaluating the possible impacts of climate change; however, their results are coarse in temporal and spatial dimensions. In addition, they often show systematic biases compared to observations. Downscaling and bias correction of climate model outputs is thus required for local applications. Apart from the computationally intensive strategy of dynamical downscaling, statistical downscaling offers a relatively straightforward solution by establishing relationships between small- and large-scale variables. This study compares four statistical downscaling methods of bias correction (BC), the change factor of mean (CFM), quantile perturbation (QP) and an event-based weather generator (WG) to assess climate change impact on drought by the end of the 21st century (2071–2100) relative to a baseline period of 1971–2000 for the weather station of Uccle located in Belgium. A set of drought-related aspects is analysed, i.e. dry day frequency, dry spell duration and total precipitation. The downscaling is applied to a 28-member ensemble of Coupled Model Intercomparison Project Phase 6 (CMIP6) GCMs, each forced by four future scenarios of SSP1–2.6, SSP2–4.5, SSP3–7.0 and SSP5–8.5. A 25-member ensemble of CanESM5 GCM is also used to assess the significance of the climate change signals in comparison to the internal variability in the climate. A performance comparison of the downscaling methods reveals that the QP method outperforms the others in reproducing the magnitude and monthly pattern of the observed indicators. While all methods show a good agreement on downscaling total precipitation, their results differ quite largely for the frequency and length of dry spells. Using the downscaling methods, dry day frequency is projected to increase significantly in the summer months, with a relative change of up to 19 % for SSP5–8.5. At the same time, total precipitation is projected to decrease significantly by up to 33 % in these months. Total precipitation also significantly increases in winter, as it is driven by a significant intensification of extreme precipitation rather than a dry day frequency change. Lastly, extreme dry spells are projected to increase in length by up to 9 %.","container-title":"Hydrology and Earth System Sciences","DOI":"10.5194/hess-25-3493-2021","ISSN":"1027-5606","issue":"6","language":"English","note":"publisher: Copernicus GmbH","page":"3493-3517","source":"Copernicus Online Journals","title":"Comparison of statistical downscaling methods for climate change impact analysis on precipitation-driven drought","volume":"25","author":[{"family":"Tabari","given":"Hossein"},{"family":"Paz","given":"Santiago Mendoza"},{"family":"Buekenhout","given":"Daan"},{"family":"Willems","given":"Patrick"}],"issued":{"date-parts":[["2021",6,21]]}}}],"schema":"https://github.com/citation-style-language/schema/raw/master/csl-citation.json"} </w:instrText>
      </w:r>
      <w:r w:rsidRPr="0093419A">
        <w:rPr>
          <w:rFonts w:asciiTheme="minorHAnsi" w:hAnsiTheme="minorHAnsi" w:cstheme="minorHAnsi"/>
          <w:szCs w:val="20"/>
        </w:rPr>
        <w:fldChar w:fldCharType="separate"/>
      </w:r>
      <w:r w:rsidRPr="0093419A">
        <w:rPr>
          <w:rFonts w:asciiTheme="minorHAnsi" w:hAnsiTheme="minorHAnsi" w:cstheme="minorHAnsi"/>
          <w:szCs w:val="20"/>
          <w:lang w:val="en-US"/>
        </w:rPr>
        <w:t xml:space="preserve">(Gutiérrez </w:t>
      </w:r>
      <w:r w:rsidRPr="0093419A">
        <w:rPr>
          <w:rFonts w:asciiTheme="minorHAnsi" w:hAnsiTheme="minorHAnsi" w:cstheme="minorHAnsi"/>
          <w:i/>
          <w:iCs/>
          <w:szCs w:val="20"/>
          <w:lang w:val="en-US"/>
        </w:rPr>
        <w:t>et al.</w:t>
      </w:r>
      <w:r w:rsidRPr="0093419A">
        <w:rPr>
          <w:rFonts w:asciiTheme="minorHAnsi" w:hAnsiTheme="minorHAnsi" w:cstheme="minorHAnsi"/>
          <w:szCs w:val="20"/>
          <w:lang w:val="en-US"/>
        </w:rPr>
        <w:t xml:space="preserve">, 2013; Tabari </w:t>
      </w:r>
      <w:r w:rsidRPr="0093419A">
        <w:rPr>
          <w:rFonts w:asciiTheme="minorHAnsi" w:hAnsiTheme="minorHAnsi" w:cstheme="minorHAnsi"/>
          <w:i/>
          <w:iCs/>
          <w:szCs w:val="20"/>
          <w:lang w:val="en-US"/>
        </w:rPr>
        <w:t>et al.</w:t>
      </w:r>
      <w:r w:rsidRPr="0093419A">
        <w:rPr>
          <w:rFonts w:asciiTheme="minorHAnsi" w:hAnsiTheme="minorHAnsi" w:cstheme="minorHAnsi"/>
          <w:szCs w:val="20"/>
          <w:lang w:val="en-US"/>
        </w:rPr>
        <w:t>, 2021)</w:t>
      </w:r>
      <w:r w:rsidRPr="0093419A">
        <w:rPr>
          <w:rFonts w:asciiTheme="minorHAnsi" w:hAnsiTheme="minorHAnsi" w:cstheme="minorHAnsi"/>
          <w:szCs w:val="20"/>
        </w:rPr>
        <w:fldChar w:fldCharType="end"/>
      </w:r>
      <w:r w:rsidRPr="0093419A">
        <w:rPr>
          <w:rFonts w:asciiTheme="minorHAnsi" w:hAnsiTheme="minorHAnsi" w:cstheme="minorHAnsi"/>
          <w:szCs w:val="20"/>
        </w:rPr>
        <w:t xml:space="preserve">. These isolated applications provide useful case-specific results but do not support cross-comparison, assessment of robustness, or systematic biases/uncertainties </w:t>
      </w:r>
      <w:r w:rsidRPr="0093419A">
        <w:rPr>
          <w:rFonts w:asciiTheme="minorHAnsi" w:hAnsiTheme="minorHAnsi" w:cstheme="minorHAnsi"/>
          <w:szCs w:val="20"/>
        </w:rPr>
        <w:fldChar w:fldCharType="begin"/>
      </w:r>
      <w:r w:rsidRPr="0093419A">
        <w:rPr>
          <w:rFonts w:asciiTheme="minorHAnsi" w:hAnsiTheme="minorHAnsi" w:cstheme="minorHAnsi"/>
          <w:szCs w:val="20"/>
        </w:rPr>
        <w:instrText xml:space="preserve"> ADDIN ZOTERO_ITEM CSL_CITATION {"citationID":"xWhV9ZlK","properties":{"formattedCitation":"(Zhang {\\i{}et al.}, 2020; Lafferty and Sriver, 2023)","plainCitation":"(Zhang et al., 2020; Lafferty and Sriver, 2023)","noteIndex":0},"citationItems":[{"id":5173,"uris":["http://zotero.org/users/7451647/items/NJUTJCFS"],"itemData":{"id":5173,"type":"article-journal","abstract":"In aiming for better access to climate change information and for providing climate service, it is important to obtain reliable high-resolution temperature simulations. Systematic comparisons are still deficient between statistical and dynamic downscaling techniques because of their inherent unavoidable uncertainties. In this paper, 20 global climate models (GCMs) and one regional climate model [Providing Regional Climates to Impact Studies (PRECIS)] are employed to evaluate their capabilities in reproducing average trends of mean temperature (Tm), maximum temperature (Tmax), minimum temperature (Tmin), diurnal temperature range (DTR), and extreme events represented by frost days (FD) and heat-wave days (HD) across China. It is shown generally that bias of temperatures from GCMs relative to observations is over ±1°C across more than one-half of mainland China. PRECIS demonstrates better representation of temperatures (except for HD) relative to GCMs. There is relatively better performance in Huanghuai, Jianghuai, Jianghan, south Yangzi River, and South China, whereas estimation is not as good in Xinjiang, the eastern part of northwest China, and the Tibetan Plateau. Bias-correction spatial disaggregation is used to downscale GCMs outputs, and bias correction is applied for PRECIS outputs, which demonstrate better improvement to a bias within ±0.2°C for Tm, Tmax, Tmin, and DTR and ±2 days for FD and HD. Furthermore, such improvement is also verified by the evidence of increased spatial correlation coefficient and symmetrical uncertainty, decreased root-mean-square error, and lower standard deviation for reproductions. It is seen from comprehensive ranking metrics that different downscaled models show the most improvement across different climatic regions, implying that optional ensembles of models should be adopted to provide sufficient high-quality climate information.","DOI":"10.1175/JAMC-D-19-0048.1","language":"en","note":"section: Journal of Applied Meteorology and Climatology","source":"journals.ametsoc.org","title":"Comparison of Statistical and Dynamic Downscaling Techniques in Generating High-Resolution Temperatures in China from CMIP5 GCMs","URL":"https://journals.ametsoc.org/view/journals/apme/59/2/jamc-d-19-0048.1.xml","author":[{"family":"Zhang","given":"Lei"},{"family":"Xu","given":"YinLong"},{"family":"Meng","given":"ChunChun"},{"family":"Li","given":"XinHua"},{"family":"Liu","given":"Huan"},{"family":"Wang","given":"ChangGui"}],"accessed":{"date-parts":[["2025",9,22]]},"issued":{"date-parts":[["2020",2,1]]}}},{"id":5171,"uris":["http://zotero.org/users/7451647/items/NPKMSNV7"],"itemData":{"id":5171,"type":"article-journal","abstract":"Efforts to diagnose the risks of a changing climate often rely on downscaled and bias-corrected climate information, making it important to understand the uncertainties and potential biases of this approach. Here, we perform a variance decomposition to partition uncertainty in global climate projections and quantify the relative importance of downscaling and bias-correction. We analyze simple climate metrics such as annual temperature and precipitation averages, as well as several indices of climate extremes. We find that downscaling and bias-correction often contribute substantial uncertainty to local decision-relevant climate outcomes, though our results are strongly heterogeneous across space, time, and climate metrics. Our results can provide guidance to impact modelers and decision-makers regarding the uncertainties associated with downscaling and bias-correction when performing local-scale analyses, as neglecting to account for these uncertainties may risk overconfidence relative to the full range of possible climate futures.","container-title":"npj Climate and Atmospheric Science","DOI":"10.1038/s41612-023-00486-0","ISSN":"2397-3722","issue":"1","journalAbbreviation":"npj Clim Atmos Sci","language":"en","license":"2023 The Author(s)","note":"publisher: Nature Publishing Group","page":"158","source":"www.nature.com","title":"Downscaling and bias-correction contribute considerable uncertainty to local climate projections in CMIP6","volume":"6","author":[{"family":"Lafferty","given":"David C."},{"family":"Sriver","given":"Ryan L."}],"issued":{"date-parts":[["2023",9,30]]}}}],"schema":"https://github.com/citation-style-language/schema/raw/master/csl-citation.json"} </w:instrText>
      </w:r>
      <w:r w:rsidRPr="0093419A">
        <w:rPr>
          <w:rFonts w:asciiTheme="minorHAnsi" w:hAnsiTheme="minorHAnsi" w:cstheme="minorHAnsi"/>
          <w:szCs w:val="20"/>
        </w:rPr>
        <w:fldChar w:fldCharType="separate"/>
      </w:r>
      <w:r w:rsidRPr="0093419A">
        <w:rPr>
          <w:rFonts w:asciiTheme="minorHAnsi" w:hAnsiTheme="minorHAnsi" w:cstheme="minorHAnsi"/>
          <w:szCs w:val="20"/>
          <w:lang w:val="en-US"/>
        </w:rPr>
        <w:t xml:space="preserve">(Zhang </w:t>
      </w:r>
      <w:r w:rsidRPr="0093419A">
        <w:rPr>
          <w:rFonts w:asciiTheme="minorHAnsi" w:hAnsiTheme="minorHAnsi" w:cstheme="minorHAnsi"/>
          <w:i/>
          <w:iCs/>
          <w:szCs w:val="20"/>
          <w:lang w:val="en-US"/>
        </w:rPr>
        <w:t>et al.</w:t>
      </w:r>
      <w:r w:rsidRPr="0093419A">
        <w:rPr>
          <w:rFonts w:asciiTheme="minorHAnsi" w:hAnsiTheme="minorHAnsi" w:cstheme="minorHAnsi"/>
          <w:szCs w:val="20"/>
          <w:lang w:val="en-US"/>
        </w:rPr>
        <w:t>, 2020; Lafferty and Sriver, 2023)</w:t>
      </w:r>
      <w:r w:rsidRPr="0093419A">
        <w:rPr>
          <w:rFonts w:asciiTheme="minorHAnsi" w:hAnsiTheme="minorHAnsi" w:cstheme="minorHAnsi"/>
          <w:szCs w:val="20"/>
        </w:rPr>
        <w:fldChar w:fldCharType="end"/>
      </w:r>
      <w:r w:rsidRPr="0093419A">
        <w:rPr>
          <w:rFonts w:asciiTheme="minorHAnsi" w:hAnsiTheme="minorHAnsi" w:cstheme="minorHAnsi"/>
          <w:szCs w:val="20"/>
        </w:rPr>
        <w:t xml:space="preserve"> . Without a common framework, the resulting knowledge fragmented and piecemeal, limiting its utility for broader scientific synthesis and for informing policy and adaptation planning. </w:t>
      </w:r>
    </w:p>
    <w:p w14:paraId="60010341" w14:textId="77777777" w:rsidR="00E70D24" w:rsidRPr="0093419A" w:rsidRDefault="00E70D24" w:rsidP="00E70D24">
      <w:pPr>
        <w:rPr>
          <w:rFonts w:asciiTheme="minorHAnsi" w:hAnsiTheme="minorHAnsi" w:cstheme="minorHAnsi"/>
          <w:szCs w:val="20"/>
        </w:rPr>
      </w:pPr>
      <w:r w:rsidRPr="0093419A">
        <w:rPr>
          <w:rFonts w:asciiTheme="minorHAnsi" w:hAnsiTheme="minorHAnsi" w:cstheme="minorHAnsi"/>
          <w:szCs w:val="20"/>
        </w:rPr>
        <w:t xml:space="preserve">A second limitation is the incomplete treatment of uncertainty. Following Shepherd (2018), downscaling uncertainty can be separated into aleatoric—the chaotic variability of the climate system, partly addressed by ensembles—and epistemic, arising from methodological assumptions </w:t>
      </w:r>
      <w:r w:rsidRPr="0093419A">
        <w:rPr>
          <w:rFonts w:asciiTheme="minorHAnsi" w:hAnsiTheme="minorHAnsi" w:cstheme="minorHAnsi"/>
          <w:szCs w:val="20"/>
        </w:rPr>
        <w:fldChar w:fldCharType="begin"/>
      </w:r>
      <w:r w:rsidRPr="0093419A">
        <w:rPr>
          <w:rFonts w:asciiTheme="minorHAnsi" w:hAnsiTheme="minorHAnsi" w:cstheme="minorHAnsi"/>
          <w:szCs w:val="20"/>
        </w:rPr>
        <w:instrText xml:space="preserve"> ADDIN ZOTERO_ITEM CSL_CITATION {"citationID":"oqwvX8T0","properties":{"formattedCitation":"(Shepherd {\\i{}et al.}, 2018)","plainCitation":"(Shepherd et al., 2018)","noteIndex":0},"citationItems":[{"id":5175,"uris":["http://zotero.org/users/7451647/items/PM82KQNA"],"itemData":{"id":5175,"type":"article-journal","abstract":"As climate change research becomes increasingly applied, the need for actionable information is growing rapidly. A key aspect of this requirement is the representation of uncertainties. The conventional approach to representing uncertainty in physical aspects of climate change is probabilistic, based on ensembles of climate model simulations. In the face of deep uncertainties, the known limitations of this approach are becoming increasingly apparent. An alternative is thus emerging which may be called a ‘storyline’ approach. We define a storyline as a physically self-consistent unfolding of past events, or of plausible future events or pathways. No a priori probability of the storyline is assessed; emphasis is placed instead on understanding the driving factors involved, and the plausibility of those factors. We introduce a typology of four reasons for using storylines to represent uncertainty in physical aspects of climate change: (i) improving risk awareness by framing risk in an event-oriented rather than a probabilistic manner, which corresponds more directly to how people perceive and respond to risk; (ii) strengthening decision-making by allowing one to work backward from a particular vulnerability or decision point, combining climate change information with other relevant factors to address compound risk and develop appropriate stress tests; (iii) providing a physical basis for partitioning uncertainty, thereby allowing the use of more credible regional models in a conditioned manner and (iv) exploring the boundaries of plausibility, thereby guarding against false precision and surprise. Storylines also offer a powerful way of linking physical with human aspects of climate change.","container-title":"Climatic Change","DOI":"10.1007/s10584-018-2317-9","ISSN":"1573-1480","issue":"3","journalAbbreviation":"Climatic Change","language":"en","page":"555-571","source":"Springer Link","title":"Storylines: an alternative approach to representing uncertainty in physical aspects of climate change","title-short":"Storylines","volume":"151","author":[{"family":"Shepherd","given":"Theodore G."},{"family":"Boyd","given":"Emily"},{"family":"Calel","given":"Raphael A."},{"family":"Chapman","given":"Sandra C."},{"family":"Dessai","given":"Suraje"},{"family":"Dima-West","given":"Ioana M."},{"family":"Fowler","given":"Hayley J."},{"family":"James","given":"Rachel"},{"family":"Maraun","given":"Douglas"},{"family":"Martius","given":"Olivia"},{"family":"Senior","given":"Catherine A."},{"family":"Sobel","given":"Adam H."},{"family":"Stainforth","given":"David A."},{"family":"Tett","given":"Simon F. B."},{"family":"Trenberth","given":"Kevin E."},{"family":"Hurk","given":"Bart J. J. M.","non-dropping-particle":"van den"},{"family":"Watkins","given":"Nicholas W."},{"family":"Wilby","given":"Robert L."},{"family":"Zenghelis","given":"Dimitri A."}],"issued":{"date-parts":[["2018",12,1]]}}}],"schema":"https://github.com/citation-style-language/schema/raw/master/csl-citation.json"} </w:instrText>
      </w:r>
      <w:r w:rsidRPr="0093419A">
        <w:rPr>
          <w:rFonts w:asciiTheme="minorHAnsi" w:hAnsiTheme="minorHAnsi" w:cstheme="minorHAnsi"/>
          <w:szCs w:val="20"/>
        </w:rPr>
        <w:fldChar w:fldCharType="separate"/>
      </w:r>
      <w:r w:rsidRPr="0093419A">
        <w:rPr>
          <w:rFonts w:asciiTheme="minorHAnsi" w:hAnsiTheme="minorHAnsi" w:cstheme="minorHAnsi"/>
          <w:szCs w:val="20"/>
          <w:lang w:val="en-US"/>
        </w:rPr>
        <w:t xml:space="preserve">(Shepherd </w:t>
      </w:r>
      <w:r w:rsidRPr="0093419A">
        <w:rPr>
          <w:rFonts w:asciiTheme="minorHAnsi" w:hAnsiTheme="minorHAnsi" w:cstheme="minorHAnsi"/>
          <w:i/>
          <w:iCs/>
          <w:szCs w:val="20"/>
          <w:lang w:val="en-US"/>
        </w:rPr>
        <w:t>et al.</w:t>
      </w:r>
      <w:r w:rsidRPr="0093419A">
        <w:rPr>
          <w:rFonts w:asciiTheme="minorHAnsi" w:hAnsiTheme="minorHAnsi" w:cstheme="minorHAnsi"/>
          <w:szCs w:val="20"/>
          <w:lang w:val="en-US"/>
        </w:rPr>
        <w:t>, 2018)</w:t>
      </w:r>
      <w:r w:rsidRPr="0093419A">
        <w:rPr>
          <w:rFonts w:asciiTheme="minorHAnsi" w:hAnsiTheme="minorHAnsi" w:cstheme="minorHAnsi"/>
          <w:szCs w:val="20"/>
        </w:rPr>
        <w:fldChar w:fldCharType="end"/>
      </w:r>
      <w:r w:rsidRPr="0093419A">
        <w:rPr>
          <w:rFonts w:asciiTheme="minorHAnsi" w:hAnsiTheme="minorHAnsi" w:cstheme="minorHAnsi"/>
          <w:szCs w:val="20"/>
        </w:rPr>
        <w:t>. Different families of methods introduce distinct epistemic uncertainties: dynamical models depend on parameterizations and resolution, statistical approaches on predictor choice and stationarity, and machine learning on architecture, training data, and generalizability. Each also inherits uncertainties from emissions scenarios, GCM forcings, and reanalysis products. Most workflows rely on one or two approaches applied in isolation, which leaves key uncertainties unacknowledged and inconsistently addressed. This practice produces fragmented results that hinder systematic comparison and reduce confidence in the outcomes.</w:t>
      </w:r>
    </w:p>
    <w:p w14:paraId="21E6BD5D" w14:textId="7794E455" w:rsidR="00E70D24" w:rsidRPr="0093419A" w:rsidRDefault="00E70D24" w:rsidP="00E70D24">
      <w:pPr>
        <w:rPr>
          <w:rFonts w:asciiTheme="minorHAnsi" w:hAnsiTheme="minorHAnsi" w:cstheme="minorHAnsi"/>
          <w:szCs w:val="20"/>
        </w:rPr>
      </w:pPr>
      <w:r w:rsidRPr="0093419A">
        <w:rPr>
          <w:rFonts w:asciiTheme="minorHAnsi" w:hAnsiTheme="minorHAnsi" w:cstheme="minorHAnsi"/>
          <w:szCs w:val="20"/>
        </w:rPr>
        <w:t xml:space="preserve">A third barrier is the poor representation of urban complexity. Cities are not homogeneous surfaces but mosaics of land-cover types, including impervious surfaces, vegetation, and water bodies </w:t>
      </w:r>
      <w:r w:rsidRPr="0093419A">
        <w:rPr>
          <w:rFonts w:asciiTheme="minorHAnsi" w:hAnsiTheme="minorHAnsi" w:cstheme="minorHAnsi"/>
          <w:szCs w:val="20"/>
        </w:rPr>
        <w:fldChar w:fldCharType="begin"/>
      </w:r>
      <w:r w:rsidRPr="0093419A">
        <w:rPr>
          <w:rFonts w:asciiTheme="minorHAnsi" w:hAnsiTheme="minorHAnsi" w:cstheme="minorHAnsi"/>
          <w:szCs w:val="20"/>
        </w:rPr>
        <w:instrText xml:space="preserve"> ADDIN ZOTERO_ITEM CSL_CITATION {"citationID":"Qi9DztNh","properties":{"formattedCitation":"(Grimmond {\\i{}et al.}, 2010; Oke {\\i{}et al.}, 2017)","plainCitation":"(Grimmond et al., 2010; Oke et al., 2017)","noteIndex":0},"citationItems":[{"id":5107,"uris":["http://zotero.org/users/7451647/items/ZHT3FFSE"],"itemData":{"id":5107,"type":"article-journal","abstract":"In the last two decades substantial advances have been made in the understanding of the scientific basis of urban climates. These are reviewed here with attention to sustainability of cities, applications that use climate information, and scientific understanding in relation to measurements and modelling. Consideration is given from street (micro) scale to neighbourhood (local) to city and region (meso) scale. Those areas where improvements are needed in the next decade to ensure more sustainable cities are identified. High-priority recommendations are made in the following six strategic areas: observations, data, understanding, modelling, tools and education. These include the need for more operational urban measurement stations and networks; for an international data archive to aid translation of research findings into design tools, along with guidelines for different climate zones and land uses; to develop methods to analyse atmospheric data measured above complex urban surfaces; to improve short-range, high-resolution numerical prediction of weather, air quality and chemical dispersion through improved modelling of the biogeophysical features of the urban land surface; to improve education about urban meteorology; and to encourage communication across scientific disciplines at a range of spatial and temporal scales.","collection-title":"World Climate Conference - 3","container-title":"Procedia Environmental Sciences","DOI":"10.1016/j.proenv.2010.09.016","ISSN":"1878-0296","journalAbbreviation":"Procedia Environmental Sciences","page":"247-274","source":"ScienceDirect","title":"Climate and More Sustainable Cities: Climate Information for Improved Planning and Management of Cities (Producers/Capabilities Perspective)","title-short":"Climate and More Sustainable Cities","volume":"1","author":[{"family":"Grimmond","given":"C. S. B."},{"family":"Roth","given":"M."},{"family":"Oke","given":"T. R."},{"family":"Au","given":"Y. C."},{"family":"Best","given":"M."},{"family":"Betts","given":"R."},{"family":"Carmichael","given":"G."},{"family":"Cleugh","given":"H."},{"family":"Dabberdt","given":"W."},{"family":"Emmanuel","given":"R."},{"family":"Freitas","given":"E."},{"family":"Fortuniak","given":"K."},{"family":"Hanna","given":"S."},{"family":"Klein","given":"P."},{"family":"Kalkstein","given":"L. S."},{"family":"Liu","given":"C. H."},{"family":"Nickson","given":"A."},{"family":"Pearlmutter","given":"D."},{"family":"Sailor","given":"D."},{"family":"Voogt","given":"J."}],"issued":{"date-parts":[["2010",1,1]]}}},{"id":1052,"uris":["http://zotero.org/users/7451647/items/FR5BMZJL"],"itemData":{"id":1052,"type":"book","ISBN":"0-521-84950-0","publisher":"Cambridge University Press","title":"Urban climates","author":[{"family":"Oke","given":"Timothy R."},{"family":"Mills","given":"Gerald"},{"family":"Christen","given":"Andreas"},{"family":"Voogt","given":"James A."}],"issued":{"date-parts":[["2017"]]}}}],"schema":"https://github.com/citation-style-language/schema/raw/master/csl-citation.json"} </w:instrText>
      </w:r>
      <w:r w:rsidRPr="0093419A">
        <w:rPr>
          <w:rFonts w:asciiTheme="minorHAnsi" w:hAnsiTheme="minorHAnsi" w:cstheme="minorHAnsi"/>
          <w:szCs w:val="20"/>
        </w:rPr>
        <w:fldChar w:fldCharType="separate"/>
      </w:r>
      <w:r w:rsidRPr="0093419A">
        <w:rPr>
          <w:rFonts w:asciiTheme="minorHAnsi" w:hAnsiTheme="minorHAnsi" w:cstheme="minorHAnsi"/>
          <w:szCs w:val="20"/>
          <w:lang w:val="en-US"/>
        </w:rPr>
        <w:t xml:space="preserve">(Grimmond </w:t>
      </w:r>
      <w:r w:rsidRPr="0093419A">
        <w:rPr>
          <w:rFonts w:asciiTheme="minorHAnsi" w:hAnsiTheme="minorHAnsi" w:cstheme="minorHAnsi"/>
          <w:i/>
          <w:iCs/>
          <w:szCs w:val="20"/>
          <w:lang w:val="en-US"/>
        </w:rPr>
        <w:t>et al.</w:t>
      </w:r>
      <w:r w:rsidRPr="0093419A">
        <w:rPr>
          <w:rFonts w:asciiTheme="minorHAnsi" w:hAnsiTheme="minorHAnsi" w:cstheme="minorHAnsi"/>
          <w:szCs w:val="20"/>
          <w:lang w:val="en-US"/>
        </w:rPr>
        <w:t xml:space="preserve">, 2010; Oke </w:t>
      </w:r>
      <w:r w:rsidRPr="0093419A">
        <w:rPr>
          <w:rFonts w:asciiTheme="minorHAnsi" w:hAnsiTheme="minorHAnsi" w:cstheme="minorHAnsi"/>
          <w:i/>
          <w:iCs/>
          <w:szCs w:val="20"/>
          <w:lang w:val="en-US"/>
        </w:rPr>
        <w:t>et al.</w:t>
      </w:r>
      <w:r w:rsidRPr="0093419A">
        <w:rPr>
          <w:rFonts w:asciiTheme="minorHAnsi" w:hAnsiTheme="minorHAnsi" w:cstheme="minorHAnsi"/>
          <w:szCs w:val="20"/>
          <w:lang w:val="en-US"/>
        </w:rPr>
        <w:t>, 2017)</w:t>
      </w:r>
      <w:r w:rsidRPr="0093419A">
        <w:rPr>
          <w:rFonts w:asciiTheme="minorHAnsi" w:hAnsiTheme="minorHAnsi" w:cstheme="minorHAnsi"/>
          <w:szCs w:val="20"/>
        </w:rPr>
        <w:fldChar w:fldCharType="end"/>
      </w:r>
      <w:r w:rsidRPr="0093419A">
        <w:rPr>
          <w:rFonts w:asciiTheme="minorHAnsi" w:hAnsiTheme="minorHAnsi" w:cstheme="minorHAnsi"/>
          <w:szCs w:val="20"/>
        </w:rPr>
        <w:t>. They also exhibit diverse building morphologies that shape energy exchanges and airflow (</w:t>
      </w:r>
      <w:r w:rsidRPr="0093419A">
        <w:rPr>
          <w:rFonts w:asciiTheme="minorHAnsi" w:hAnsiTheme="minorHAnsi" w:cstheme="minorHAnsi"/>
          <w:szCs w:val="20"/>
        </w:rPr>
        <w:fldChar w:fldCharType="begin"/>
      </w:r>
      <w:r w:rsidRPr="0093419A">
        <w:rPr>
          <w:rFonts w:asciiTheme="minorHAnsi" w:hAnsiTheme="minorHAnsi" w:cstheme="minorHAnsi"/>
          <w:szCs w:val="20"/>
        </w:rPr>
        <w:instrText xml:space="preserve"> ADDIN ZOTERO_ITEM CSL_CITATION {"citationID":"ix45T7yA","properties":{"formattedCitation":"(Kusaka {\\i{}et al.}, 2001; Martilli {\\i{}et al.}, 2002; Doan and Kusaka, 2019)","plainCitation":"(Kusaka et al., 2001; Martilli et al., 2002; Doan and Kusaka, 2019)","noteIndex":0},"citationItems":[{"id":198,"uris":["http://zotero.org/users/7451647/items/29MVSRP5"],"itemData":{"id":198,"type":"article-journal","abstract":"We developed a simple, single-layer urban canopy model, and comparedit to both multi-layer and slab models. Our single-layer model has thefollowing features: (a) It is a column model of energy and momentumexchange between an urban surface and the atmosphere, (b) it includesthe influence of street canyons, which are parameterized to representthe urban geometry, (c) it includes shadowing from buildings andreflection of radiation, and (d) it estimates both the surfacetemperatures of, and heat fluxes from, three surface types: roof, wall,and road. In the simulation of the single-layer model, the roof washottest during the daytime, but coolest from midnight to early morning.This is consistent with output from the multi-layer model and fieldobservations at a residential area on a clear, summer day. The diurnalvariation of the energy budget from the single-layer model agrees wellwith that from the multi-layer model. Our single-layer model'sperformance is nearly that of a multi-layer model for studyingmesoscale heat islands. Nevertheless, it is simply parameterized,and thus easily included in larger-scale atmospheric models. The slabmodel has the largest nighttime cooling rate of the three models. Toovercome this, it needs more adjustments than for the canopy models.","container-title":"Boundary-Layer Meteorology","DOI":"10.1023/A:1019207923078","ISSN":"1573-1472","issue":"3","journalAbbreviation":"Boundary-Layer Meteorology","language":"en","page":"329-358","source":"Springer Link","title":"A Simple Single-Layer Urban Canopy Model For Atmospheric Models: Comparison With Multi-Layer And Slab Models","title-short":"A Simple Single-Layer Urban Canopy Model For Atmospheric Models","volume":"101","author":[{"family":"Kusaka","given":"Hiroyuki"},{"family":"Kondo","given":"Hiroaki"},{"family":"Kikegawa","given":"Yokihiro"},{"family":"Kimura","given":"Fujio"}],"issued":{"date-parts":[["2001",12,1]]}}},{"id":5181,"uris":["http://zotero.org/users/7451647/items/KZGYMJTN"],"itemData":{"id":5181,"type":"article-journal","abstract":"A scheme to represent the impact of urban buildings on airflow in mesoscale atmospheric models is presented. In the scheme, the buildings are not explicitly resolved, but their effects on the grid-averaged variables are parameterised. An urban quarter is characterised by a horizontal building size, a street canyon width and a building density as a function of height. The module computes the impact of the horizontal (roof and canyon floor) and vertical (walls) surfaces on the wind speed, temperature and turbulent kinetic energy. The computation of the shortwave and longwave radiation, needed to compute the temperature of the urban surfaces, takes into account the shadowing and radiation trapping effects induced by the urban canyons. The computation of the turbulent length scales in the TKE equation is also modified to take into account the presence of the buildings.","container-title":"Boundary-Layer Meteorology","DOI":"10.1023/A:1016099921195","ISSN":"1573-1472","issue":"2","journalAbbreviation":"Boundary-Layer Meteorology","language":"en","page":"261-304","source":"Springer Link","title":"An Urban Surface Exchange Parameterisation for Mesoscale Models","volume":"104","author":[{"family":"Martilli","given":"Alberto"},{"family":"Clappier","given":"Alain"},{"family":"Rotach","given":"Mathias W."}],"issued":{"date-parts":[["2002",8,1]]}}},{"id":272,"uris":["http://zotero.org/users/7451647/items/Y5Q58Y5W"],"itemData":{"id":272,"type":"article-journal","abstract":"This study introduces a new multiple-layer urban canopy model (MUCM) combined with a ray-tracing algorithm. In the model, we parameterize the urban morphology as an infinite array of identical three-dimensional buildings separated by roads. Heat exchanges are solved for each urban surface at each vertical layer. The ray-tracing scheme is used to explicitly calculate the view factors as well as both the sunlit and shadow fractions of the urban surfaces during the daytime. As a test, we show that this combined MUCM accurately models observations at Kugahara, Tokyo. Thus, the combined MUCM is a new tool for urban climate modelers to more realistically represent radiative processes on urban surfaces. In particular, it may contribute to our understanding of urban climate in the mega-cities of Asia, which generally have high-rise buildings that are more difficult to model with simpler radiative schemes.","container-title":"Scientific Online Letters on the Atmosphere","DOI":"10.2151/sola.2019-008","page":"37-40","source":"J-Stage","title":"Development of a Multilayer Urban Canopy Model Combined with a Ray Tracing Algorithm","volume":"15","author":[{"family":"Doan","given":"Van Q."},{"family":"Kusaka","given":"Hiroyuki"}],"issued":{"date-parts":[["2019"]]}}}],"schema":"https://github.com/citation-style-language/schema/raw/master/csl-citation.json"} </w:instrText>
      </w:r>
      <w:r w:rsidRPr="0093419A">
        <w:rPr>
          <w:rFonts w:asciiTheme="minorHAnsi" w:hAnsiTheme="minorHAnsi" w:cstheme="minorHAnsi"/>
          <w:szCs w:val="20"/>
        </w:rPr>
        <w:fldChar w:fldCharType="separate"/>
      </w:r>
      <w:r w:rsidRPr="0093419A">
        <w:rPr>
          <w:rFonts w:asciiTheme="minorHAnsi" w:hAnsiTheme="minorHAnsi" w:cstheme="minorHAnsi"/>
          <w:szCs w:val="20"/>
          <w:lang w:val="en-US"/>
        </w:rPr>
        <w:t xml:space="preserve">(Kusaka </w:t>
      </w:r>
      <w:r w:rsidRPr="0093419A">
        <w:rPr>
          <w:rFonts w:asciiTheme="minorHAnsi" w:hAnsiTheme="minorHAnsi" w:cstheme="minorHAnsi"/>
          <w:i/>
          <w:iCs/>
          <w:szCs w:val="20"/>
          <w:lang w:val="en-US"/>
        </w:rPr>
        <w:t>et al.</w:t>
      </w:r>
      <w:r w:rsidRPr="0093419A">
        <w:rPr>
          <w:rFonts w:asciiTheme="minorHAnsi" w:hAnsiTheme="minorHAnsi" w:cstheme="minorHAnsi"/>
          <w:szCs w:val="20"/>
          <w:lang w:val="en-US"/>
        </w:rPr>
        <w:t xml:space="preserve">, 2001; Martilli </w:t>
      </w:r>
      <w:r w:rsidRPr="0093419A">
        <w:rPr>
          <w:rFonts w:asciiTheme="minorHAnsi" w:hAnsiTheme="minorHAnsi" w:cstheme="minorHAnsi"/>
          <w:i/>
          <w:iCs/>
          <w:szCs w:val="20"/>
          <w:lang w:val="en-US"/>
        </w:rPr>
        <w:t>et al.</w:t>
      </w:r>
      <w:r w:rsidRPr="0093419A">
        <w:rPr>
          <w:rFonts w:asciiTheme="minorHAnsi" w:hAnsiTheme="minorHAnsi" w:cstheme="minorHAnsi"/>
          <w:szCs w:val="20"/>
          <w:lang w:val="en-US"/>
        </w:rPr>
        <w:t>, 2002; Doan and Kusaka, 2019)</w:t>
      </w:r>
      <w:r w:rsidRPr="0093419A">
        <w:rPr>
          <w:rFonts w:asciiTheme="minorHAnsi" w:hAnsiTheme="minorHAnsi" w:cstheme="minorHAnsi"/>
          <w:szCs w:val="20"/>
        </w:rPr>
        <w:fldChar w:fldCharType="end"/>
      </w:r>
      <w:r w:rsidRPr="0093419A">
        <w:rPr>
          <w:rFonts w:asciiTheme="minorHAnsi" w:hAnsiTheme="minorHAnsi" w:cstheme="minorHAnsi"/>
          <w:szCs w:val="20"/>
        </w:rPr>
        <w:t xml:space="preserve">, along with anthropogenic heat emissions from transport, industry, and energy use </w:t>
      </w:r>
      <w:r w:rsidRPr="0093419A">
        <w:rPr>
          <w:rFonts w:asciiTheme="minorHAnsi" w:hAnsiTheme="minorHAnsi" w:cstheme="minorHAnsi"/>
          <w:szCs w:val="20"/>
        </w:rPr>
        <w:fldChar w:fldCharType="begin"/>
      </w:r>
      <w:r w:rsidRPr="0093419A">
        <w:rPr>
          <w:rFonts w:asciiTheme="minorHAnsi" w:hAnsiTheme="minorHAnsi" w:cstheme="minorHAnsi"/>
          <w:szCs w:val="20"/>
        </w:rPr>
        <w:instrText xml:space="preserve"> ADDIN ZOTERO_ITEM CSL_CITATION {"citationID":"7PLfRkDY","properties":{"formattedCitation":"(Sailor {\\i{}et al.}, 2015)","plainCitation":"(Sailor et al., 2015)","noteIndex":0},"citationItems":[{"id":1068,"uris":["http://zotero.org/users/7451647/items/6L4K2RC9"],"itemData":{"id":1068,"type":"article-journal","abstract":"Given increasing utility of numerical models to examine urban impacts on meteorology and climate, there exists an urgent need for accurate representation of seasonally and diurnally varying anthropogenic heating data, an important component of the urban energy budget for cities across the world. Incorporation of anthropogenic heating data as inputs to existing climate modeling systems has direct societal implications ranging from improved prediction of energy demand to health assessment, but such data are lacking for most cities. To address this deficiency we have applied a standardized procedure to develop a national database of seasonally and diurnally varying anthropogenic heating profiles for 61 of the largest cities in the United Stated (U.S.). Recognizing the importance of spatial scale, the anthropogenic heating database developed includes the city scale and the accompanying greater metropolitan area. Our analysis reveals that a single profile function can adequately represent anthropogenic heating during summer but two profile functions are required in winter, one for warm climate cities and another for cold climate cities. On average, although anthropogenic heating is 40% larger in winter than summer, the electricity sector contribution peaks during summer and is smallest in winter. Because such data are similarly required for international cities where urban climate assessments are also ongoing, we have made a simple adjustment accounting for different international energy consumption rates relative to the U.S. to generate seasonally and diurnally varying anthropogenic heating profiles for a range of global cities. The methodological approach presented here is flexible and straightforwardly applicable to cities not modeled because of presently unavailable data. Because of the anticipated increase in global urban populations for many decades to come, characterizing this fundamental aspect of the urban environment - anthropogenic heating - is an essential element toward continued progress in urban climate assessment.","container-title":"Atmospheric Environment","DOI":"10.1016/j.atmosenv.2015.07.016","issue":"2015","note":"publisher: Elsevier Ltd","page":"7-18","title":"Development of a national anthropogenic heating database with an extrapolation for international cities","volume":"118","author":[{"family":"Sailor","given":"David J."},{"family":"Georgescu","given":"Matei"},{"family":"Milne","given":"Jeffrey M."},{"family":"Hart","given":"Melissa A."}],"issued":{"date-parts":[["2015"]]}}}],"schema":"https://github.com/citation-style-language/schema/raw/master/csl-citation.json"} </w:instrText>
      </w:r>
      <w:r w:rsidRPr="0093419A">
        <w:rPr>
          <w:rFonts w:asciiTheme="minorHAnsi" w:hAnsiTheme="minorHAnsi" w:cstheme="minorHAnsi"/>
          <w:szCs w:val="20"/>
        </w:rPr>
        <w:fldChar w:fldCharType="separate"/>
      </w:r>
      <w:r w:rsidRPr="0093419A">
        <w:rPr>
          <w:rFonts w:asciiTheme="minorHAnsi" w:hAnsiTheme="minorHAnsi" w:cstheme="minorHAnsi"/>
          <w:szCs w:val="20"/>
          <w:lang w:val="en-US"/>
        </w:rPr>
        <w:t xml:space="preserve">(Sailor </w:t>
      </w:r>
      <w:r w:rsidRPr="0093419A">
        <w:rPr>
          <w:rFonts w:asciiTheme="minorHAnsi" w:hAnsiTheme="minorHAnsi" w:cstheme="minorHAnsi"/>
          <w:i/>
          <w:iCs/>
          <w:szCs w:val="20"/>
          <w:lang w:val="en-US"/>
        </w:rPr>
        <w:t>et al.</w:t>
      </w:r>
      <w:r w:rsidRPr="0093419A">
        <w:rPr>
          <w:rFonts w:asciiTheme="minorHAnsi" w:hAnsiTheme="minorHAnsi" w:cstheme="minorHAnsi"/>
          <w:szCs w:val="20"/>
          <w:lang w:val="en-US"/>
        </w:rPr>
        <w:t>, 2015)</w:t>
      </w:r>
      <w:r w:rsidRPr="0093419A">
        <w:rPr>
          <w:rFonts w:asciiTheme="minorHAnsi" w:hAnsiTheme="minorHAnsi" w:cstheme="minorHAnsi"/>
          <w:szCs w:val="20"/>
        </w:rPr>
        <w:fldChar w:fldCharType="end"/>
      </w:r>
      <w:r w:rsidRPr="0093419A">
        <w:rPr>
          <w:rFonts w:asciiTheme="minorHAnsi" w:hAnsiTheme="minorHAnsi" w:cstheme="minorHAnsi"/>
          <w:szCs w:val="20"/>
        </w:rPr>
        <w:t xml:space="preserve">. These features exert strong influences on local climate, particularly during extremes such as heatwaves </w:t>
      </w:r>
      <w:r w:rsidRPr="0093419A">
        <w:rPr>
          <w:rFonts w:asciiTheme="minorHAnsi" w:hAnsiTheme="minorHAnsi" w:cstheme="minorHAnsi"/>
          <w:szCs w:val="20"/>
        </w:rPr>
        <w:fldChar w:fldCharType="begin"/>
      </w:r>
      <w:r w:rsidRPr="0093419A">
        <w:rPr>
          <w:rFonts w:asciiTheme="minorHAnsi" w:hAnsiTheme="minorHAnsi" w:cstheme="minorHAnsi"/>
          <w:szCs w:val="20"/>
        </w:rPr>
        <w:instrText xml:space="preserve"> ADDIN ZOTERO_ITEM CSL_CITATION {"citationID":"If55R01c","properties":{"formattedCitation":"(Stone {\\i{}et al.}, 2010)","plainCitation":"(Stone et al., 2010)","noteIndex":0},"citationItems":[{"id":5177,"uris":["http://zotero.org/users/7451647/items/ZRCRGBXS"],"itemData":{"id":5177,"type":"article-journal","abstract":"BackgroundExtreme heat events (EHEs) are increasing in frequency in large U.S. cities and are responsible for a greater annual number of climate-related fatalities, on average, than any other form of extreme weather. In addition, low-density, sprawling patterns of urban development have been associated with enhanced surface temperatures in urbanized areas.ObjectivesIn this study. we examined the association between urban form at the level of the metropolitan region and the frequency of EHEs over a five-decade period.MethodsWe employed a widely published sprawl index to measure the association between urban form in 2000 and the mean annual rate of change in EHEs between 1956 and 2005.ResultsWe found that the rate of increase in the annual number of EHEs between 1956 and 2005 in the most sprawling metropolitan regions was more than double the rate of increase observed in the most compact metropolitan regions.ConclusionsThe design and management of land use in metropolitan regions may offer an important tool for adapting to the heat-related health effects associated with ongoing climate change.","container-title":"Environmental Health Perspectives","DOI":"10.1289/ehp.0901879","issue":"10","note":"publisher: Environmental Health Perspectives","page":"1425-1428","source":"ehp.niehs.nih.gov (Atypon)","title":"Urban Form and Extreme Heat Events: Are Sprawling Cities More Vulnerable to Climate Change Than Compact Cities?","title-short":"Urban Form and Extreme Heat Events","volume":"118","author":[{"family":"Stone","given":"Brian"},{"family":"Hess","given":"Jeremy J."},{"family":"Frumkin","given":"Howard"}],"issued":{"date-parts":[["2010",10]]}}}],"schema":"https://github.com/citation-style-language/schema/raw/master/csl-citation.json"} </w:instrText>
      </w:r>
      <w:r w:rsidRPr="0093419A">
        <w:rPr>
          <w:rFonts w:asciiTheme="minorHAnsi" w:hAnsiTheme="minorHAnsi" w:cstheme="minorHAnsi"/>
          <w:szCs w:val="20"/>
        </w:rPr>
        <w:fldChar w:fldCharType="separate"/>
      </w:r>
      <w:r w:rsidRPr="0093419A">
        <w:rPr>
          <w:rFonts w:asciiTheme="minorHAnsi" w:hAnsiTheme="minorHAnsi" w:cstheme="minorHAnsi"/>
          <w:szCs w:val="20"/>
          <w:lang w:val="en-US"/>
        </w:rPr>
        <w:t xml:space="preserve">(Stone </w:t>
      </w:r>
      <w:r w:rsidRPr="0093419A">
        <w:rPr>
          <w:rFonts w:asciiTheme="minorHAnsi" w:hAnsiTheme="minorHAnsi" w:cstheme="minorHAnsi"/>
          <w:i/>
          <w:iCs/>
          <w:szCs w:val="20"/>
          <w:lang w:val="en-US"/>
        </w:rPr>
        <w:t>et al.</w:t>
      </w:r>
      <w:r w:rsidRPr="0093419A">
        <w:rPr>
          <w:rFonts w:asciiTheme="minorHAnsi" w:hAnsiTheme="minorHAnsi" w:cstheme="minorHAnsi"/>
          <w:szCs w:val="20"/>
          <w:lang w:val="en-US"/>
        </w:rPr>
        <w:t>, 2010)</w:t>
      </w:r>
      <w:r w:rsidRPr="0093419A">
        <w:rPr>
          <w:rFonts w:asciiTheme="minorHAnsi" w:hAnsiTheme="minorHAnsi" w:cstheme="minorHAnsi"/>
          <w:szCs w:val="20"/>
        </w:rPr>
        <w:fldChar w:fldCharType="end"/>
      </w:r>
      <w:r w:rsidRPr="0093419A">
        <w:rPr>
          <w:rFonts w:asciiTheme="minorHAnsi" w:hAnsiTheme="minorHAnsi" w:cstheme="minorHAnsi"/>
          <w:szCs w:val="20"/>
        </w:rPr>
        <w:t xml:space="preserve"> and convective storms </w:t>
      </w:r>
      <w:r w:rsidRPr="0093419A">
        <w:rPr>
          <w:rFonts w:asciiTheme="minorHAnsi" w:hAnsiTheme="minorHAnsi" w:cstheme="minorHAnsi"/>
          <w:szCs w:val="20"/>
        </w:rPr>
        <w:fldChar w:fldCharType="begin"/>
      </w:r>
      <w:r w:rsidRPr="0093419A">
        <w:rPr>
          <w:rFonts w:asciiTheme="minorHAnsi" w:hAnsiTheme="minorHAnsi" w:cstheme="minorHAnsi"/>
          <w:szCs w:val="20"/>
        </w:rPr>
        <w:instrText xml:space="preserve"> ADDIN ZOTERO_ITEM CSL_CITATION {"citationID":"AuwMDmqF","properties":{"formattedCitation":"(Shepherd and Burian, 2003; Doan {\\i{}et al.}, 2021)","plainCitation":"(Shepherd and Burian, 2003; Doan et al., 2021)","noteIndex":0},"citationItems":[{"id":5179,"uris":["http://zotero.org/users/7451647/items/HSDCKFNZ"],"itemData":{"id":5179,"type":"article-journal","abstract":"There is increasing evidence that large coastal cities, like Houston, Texas, can influence weather through complex urban land use–weather–climate feedbacks. Recent work in the literature establishes the existence of enhanced lightning activity over and downwind of Houston. Since lightning is a signature of convection in the atmosphere, it would seem reasonable that urbanized Houston would also impact the distribution of rainfall. This paper presents results using data from the world’s first satellite-based precipitation radar (PR) aboard the Tropical Rainfall Measuring Mission (TRMM) and ground-based rain gauges to quantify rainfall anomalies that we hypothesize to be linked to extensive urbanization in the Houston area. It is one of the first rigorous efforts to quantify an urban-induced rainfall anomaly near a major U.S. coastal city and one of the first applications of space-borne radar data to the problem. Quantitative results reveal the presence of annual and warm season rainfall anomalies over and downwind of Houston. Several hypotheses have surfaced to explain how the sea breeze, coastline curvature, or urbanized Houston environment interacts with the atmospheric system to impact rainfall. This paper presents evidence that the urban heat island’s influence is of primary significance in causing the observed precipitation anomalies. Precipitation is a key link in the global water cycle and a proper understanding of its temporal and spatial character will have broad implications in ongoing climate diagnostics and prediction, Global Water and Energy Cycle (GWEC) analysis and modeling, weather forecasting, freshwater resource management, and land–atmosphere–ocean interface processes.","ISSN":"1087-3562","language":"en","note":"section: Earth Interactions","source":"journals.ametsoc.org","title":"Detection of Urban-Induced Rainfall Anomalies in a Major Coastal City","URL":"https://journals.ametsoc.org/view/journals/eint/7/4/1087-3562_2003_007_0001_douira_2.0.co_2.xml","author":[{"family":"Shepherd","given":"J. Marshall"},{"family":"Burian","given":"Steven J."}],"accessed":{"date-parts":[["2025",9,22]]},"issued":{"date-parts":[["2003",4,1]]}}},{"id":256,"uris":["http://zotero.org/users/7451647/items/6H4ARQYB"],"itemData":{"id":256,"type":"paper-conference","abstract":"This study presents the first results to project the future change in extreme convection rainfall in a tropical large city such as Singapore. The convection-permitting WRF model is employed for dynamical downscaling the future change in rainfall considering 2050s and 2090s from the ensemble mean of CMIP5 GCMs outcomes with two scenarios RCP4.5 and RCP8.5. Pseudo Global Warming (PGW) approach is used for creating initial and boundary atmosphere conditions to force the WRF. The response of extreme rainfall occurrences in terms of both frequency and intensity are analyzed to answer two critical questions: (i) is there a robust signature of global warming on localized heavy rain at a city-scale; (ii) how will the urban effect on future rainfall change when background climate becomes warmer?  The physical mechanisms behind these changes are also analyzed here. This study adds value to the ongoing discussion about urban extreme precipitation, focusing on how it will change in future. The study will benefit urban planners to prepare appropriate plans to handle the challenge caused by global climate change.","event-title":"AOGS 2021 18th Annual Meeting","title":"Response of Extreme Convective Rainfall in a Tropical City to the Future Warming Climate","URL":"https://www.asiaoceania.org/aogs2021/public.asp?page=home.html","author":[{"family":"Doan","given":"Quang-Van"},{"family":"Chen","given":"Fei"},{"family":"Kusaka","given":"Hiroyuki"},{"family":"Khan","given":"Ansar"},{"family":"Dipankar","given":"Anurag"},{"family":"Hamdi","given":"Rafiq"},{"family":"Gupta","given":"Akhilesh"},{"family":"Niyogi","given":"Dev"}],"accessed":{"date-parts":[["2021",5,25]]},"issued":{"date-parts":[["2021",8,1]]}}}],"schema":"https://github.com/citation-style-language/schema/raw/master/csl-citation.json"} </w:instrText>
      </w:r>
      <w:r w:rsidRPr="0093419A">
        <w:rPr>
          <w:rFonts w:asciiTheme="minorHAnsi" w:hAnsiTheme="minorHAnsi" w:cstheme="minorHAnsi"/>
          <w:szCs w:val="20"/>
        </w:rPr>
        <w:fldChar w:fldCharType="separate"/>
      </w:r>
      <w:r w:rsidRPr="0093419A">
        <w:rPr>
          <w:rFonts w:asciiTheme="minorHAnsi" w:hAnsiTheme="minorHAnsi" w:cstheme="minorHAnsi"/>
          <w:szCs w:val="20"/>
          <w:lang w:val="en-US"/>
        </w:rPr>
        <w:t xml:space="preserve">(Shepherd and Burian, 2003; Doan </w:t>
      </w:r>
      <w:r w:rsidRPr="0093419A">
        <w:rPr>
          <w:rFonts w:asciiTheme="minorHAnsi" w:hAnsiTheme="minorHAnsi" w:cstheme="minorHAnsi"/>
          <w:i/>
          <w:iCs/>
          <w:szCs w:val="20"/>
          <w:lang w:val="en-US"/>
        </w:rPr>
        <w:t>et al.</w:t>
      </w:r>
      <w:r w:rsidRPr="0093419A">
        <w:rPr>
          <w:rFonts w:asciiTheme="minorHAnsi" w:hAnsiTheme="minorHAnsi" w:cstheme="minorHAnsi"/>
          <w:szCs w:val="20"/>
          <w:lang w:val="en-US"/>
        </w:rPr>
        <w:t>, 2021)</w:t>
      </w:r>
      <w:r w:rsidRPr="0093419A">
        <w:rPr>
          <w:rFonts w:asciiTheme="minorHAnsi" w:hAnsiTheme="minorHAnsi" w:cstheme="minorHAnsi"/>
          <w:szCs w:val="20"/>
        </w:rPr>
        <w:fldChar w:fldCharType="end"/>
      </w:r>
      <w:r w:rsidRPr="0093419A">
        <w:rPr>
          <w:rFonts w:asciiTheme="minorHAnsi" w:hAnsiTheme="minorHAnsi" w:cstheme="minorHAnsi"/>
          <w:szCs w:val="20"/>
        </w:rPr>
        <w:t xml:space="preserve">. Yet many downscaling systems omit or oversimplify them, either due to limited datasets or additional modelling requirements </w:t>
      </w:r>
      <w:r w:rsidRPr="0093419A">
        <w:rPr>
          <w:rFonts w:asciiTheme="minorHAnsi" w:hAnsiTheme="minorHAnsi" w:cstheme="minorHAnsi"/>
          <w:szCs w:val="20"/>
        </w:rPr>
        <w:fldChar w:fldCharType="begin"/>
      </w:r>
      <w:r w:rsidRPr="0093419A">
        <w:rPr>
          <w:rFonts w:asciiTheme="minorHAnsi" w:hAnsiTheme="minorHAnsi" w:cstheme="minorHAnsi"/>
          <w:szCs w:val="20"/>
        </w:rPr>
        <w:instrText xml:space="preserve"> ADDIN ZOTERO_ITEM CSL_CITATION {"citationID":"5MHLvmg0","properties":{"formattedCitation":"(Masson {\\i{}et al.}, 2020)","plainCitation":"(Masson et al., 2020)","noteIndex":0},"citationItems":[{"id":5183,"uris":["http://zotero.org/users/7451647/items/Q4J7SK3N"],"itemData":{"id":5183,"type":"article-journal","abstract":"Cities are particularly vulnerable to meteorological hazards because of the concentration of population, goods, capital stock and infrastructure. Urban climate services require multi-disciplinary and multi-sectorial approaches and new paradigms in urban climate modelling. This paper classifies the required urban input data for both mesoscale state-of-the-art Urban Canopy Models (UCMs) and microscale Obstacle Resolving Models (ORM) into five categories and reviews the ways in which they can be obtained. The first two categories are (1) land cover, and (2) building morphology. These govern the main interactions between the city and the urban climate and the Urban Heat Island. Interdependence between morphological parameters and UCM geometric hypotheses are discussed. Building height, plan and wall area densities are recommended as the main input variables for UCMs, whereas ORMs require 3D building data. Recently, three other categories of urban data became relevant for finer urban studies and adaptation to climate change: (3) building design and architecture, (4) building use, anthropogenic heat and socio-economic data, and (5) urban vegetation data. Several methods for acquiring spatial information are reviewed, including remote sensing, geographic information system (GIS) processing from administrative cadasters, expert knowledge and crowdsourcing. Data availability, data harmonization, costs/efficiency trade-offs and future challenges are then discussed.","container-title":"Urban Climate","DOI":"10.1016/j.uclim.2019.100536","ISSN":"2212-0955","journalAbbreviation":"Urban Climate","page":"100536","source":"ScienceDirect","title":"City-descriptive input data for urban climate models: Model requirements, data sources and challenges","title-short":"City-descriptive input data for urban climate models","volume":"31","author":[{"family":"Masson","given":"Valéry"},{"family":"Heldens","given":"Wieke"},{"family":"Bocher","given":"Erwan"},{"family":"Bonhomme","given":"Marion"},{"family":"Bucher","given":"Bénédicte"},{"family":"Burmeister","given":"Cornelia"},{"family":"Munck","given":"Cécile","non-dropping-particle":"de"},{"family":"Esch","given":"Thomas"},{"family":"Hidalgo","given":"Julia"},{"family":"Kanani-Sühring","given":"Farah"},{"family":"Kwok","given":"Yu-Ting"},{"family":"Lemonsu","given":"Aude"},{"family":"Lévy","given":"Jean-Pierre"},{"family":"Maronga","given":"Björn"},{"family":"Pavlik","given":"Dirk"},{"family":"Petit","given":"Gwendall"},{"family":"See","given":"Linda"},{"family":"Schoetter","given":"Robert"},{"family":"Tornay","given":"Nathalie"},{"family":"Votsis","given":"Athanasios"},{"family":"Zeidler","given":"Julian"}],"issued":{"date-parts":[["2020",3,1]]}}}],"schema":"https://github.com/citation-style-language/schema/raw/master/csl-citation.json"} </w:instrText>
      </w:r>
      <w:r w:rsidRPr="0093419A">
        <w:rPr>
          <w:rFonts w:asciiTheme="minorHAnsi" w:hAnsiTheme="minorHAnsi" w:cstheme="minorHAnsi"/>
          <w:szCs w:val="20"/>
        </w:rPr>
        <w:fldChar w:fldCharType="separate"/>
      </w:r>
      <w:r w:rsidRPr="0093419A">
        <w:rPr>
          <w:rFonts w:asciiTheme="minorHAnsi" w:hAnsiTheme="minorHAnsi" w:cstheme="minorHAnsi"/>
          <w:szCs w:val="20"/>
          <w:lang w:val="en-US"/>
        </w:rPr>
        <w:t xml:space="preserve">(Masson </w:t>
      </w:r>
      <w:r w:rsidRPr="0093419A">
        <w:rPr>
          <w:rFonts w:asciiTheme="minorHAnsi" w:hAnsiTheme="minorHAnsi" w:cstheme="minorHAnsi"/>
          <w:i/>
          <w:iCs/>
          <w:szCs w:val="20"/>
          <w:lang w:val="en-US"/>
        </w:rPr>
        <w:t>et al.</w:t>
      </w:r>
      <w:r w:rsidRPr="0093419A">
        <w:rPr>
          <w:rFonts w:asciiTheme="minorHAnsi" w:hAnsiTheme="minorHAnsi" w:cstheme="minorHAnsi"/>
          <w:szCs w:val="20"/>
          <w:lang w:val="en-US"/>
        </w:rPr>
        <w:t>, 2020)</w:t>
      </w:r>
      <w:r w:rsidRPr="0093419A">
        <w:rPr>
          <w:rFonts w:asciiTheme="minorHAnsi" w:hAnsiTheme="minorHAnsi" w:cstheme="minorHAnsi"/>
          <w:szCs w:val="20"/>
        </w:rPr>
        <w:fldChar w:fldCharType="end"/>
      </w:r>
      <w:r w:rsidRPr="0093419A">
        <w:rPr>
          <w:rFonts w:asciiTheme="minorHAnsi" w:hAnsiTheme="minorHAnsi" w:cstheme="minorHAnsi"/>
          <w:szCs w:val="20"/>
        </w:rPr>
        <w:t>. As a result, simulated climates often fail to reproduce processes critical for informing urban adaptation strategies.</w:t>
      </w:r>
    </w:p>
    <w:p w14:paraId="2BFB7014" w14:textId="77777777" w:rsidR="00E70D24" w:rsidRPr="0093419A" w:rsidRDefault="00E70D24" w:rsidP="00E70D24">
      <w:pPr>
        <w:rPr>
          <w:rFonts w:asciiTheme="minorHAnsi" w:hAnsiTheme="minorHAnsi" w:cstheme="minorHAnsi"/>
          <w:szCs w:val="20"/>
        </w:rPr>
      </w:pPr>
      <w:r w:rsidRPr="0093419A">
        <w:rPr>
          <w:rFonts w:asciiTheme="minorHAnsi" w:hAnsiTheme="minorHAnsi" w:cstheme="minorHAnsi"/>
          <w:szCs w:val="20"/>
        </w:rPr>
        <w:t xml:space="preserve">A fourth barrier is computational and data constraints. High-resolution RCMs with urban canopy models are among the most physically realistic tools available, but they demand massive computational resources. This cost restricts their application to a handful of case studies rather than systematic ensemble runs. By contrast, statistical and AI-based methods are efficient and scalable, but they often depend on local datasets that are inconsistent or difficult to access, making broad application challenging. Finally, limited accessibility and transparency continue to hinder progress. Many workflows are developed for specific projects, with undocumented preprocessing steps, ad hoc postprocessing, and restricted data access. As a result, </w:t>
      </w:r>
      <w:r w:rsidRPr="0093419A">
        <w:rPr>
          <w:rFonts w:asciiTheme="minorHAnsi" w:hAnsiTheme="minorHAnsi" w:cstheme="minorHAnsi"/>
          <w:szCs w:val="20"/>
        </w:rPr>
        <w:lastRenderedPageBreak/>
        <w:t xml:space="preserve">reproducibility is low and transferability is limited, reducing confidence and uptake by researchers, </w:t>
      </w:r>
      <w:proofErr w:type="gramStart"/>
      <w:r w:rsidRPr="0093419A">
        <w:rPr>
          <w:rFonts w:asciiTheme="minorHAnsi" w:hAnsiTheme="minorHAnsi" w:cstheme="minorHAnsi"/>
          <w:szCs w:val="20"/>
        </w:rPr>
        <w:t>policy-makers</w:t>
      </w:r>
      <w:proofErr w:type="gramEnd"/>
      <w:r w:rsidRPr="0093419A">
        <w:rPr>
          <w:rFonts w:asciiTheme="minorHAnsi" w:hAnsiTheme="minorHAnsi" w:cstheme="minorHAnsi"/>
          <w:szCs w:val="20"/>
        </w:rPr>
        <w:t>, and practitioners.</w:t>
      </w:r>
    </w:p>
    <w:p w14:paraId="68077A31" w14:textId="77777777" w:rsidR="00E70D24" w:rsidRPr="0093419A" w:rsidRDefault="00E70D24" w:rsidP="00E70D24">
      <w:pPr>
        <w:rPr>
          <w:rFonts w:asciiTheme="minorHAnsi" w:hAnsiTheme="minorHAnsi" w:cstheme="minorHAnsi"/>
          <w:szCs w:val="20"/>
        </w:rPr>
      </w:pPr>
      <w:r w:rsidRPr="0093419A">
        <w:rPr>
          <w:rFonts w:asciiTheme="minorHAnsi" w:hAnsiTheme="minorHAnsi" w:cstheme="minorHAnsi"/>
          <w:szCs w:val="20"/>
        </w:rPr>
        <w:t>These barriers point to the urgent need for a unified, modular, and open framework for urban climate downscaling. Such a system must be capable of integrating multiple approaches, explicitly quantifying uncertainties, incorporating detailed urban surface data, and providing reproducible workflows accessible to diverse users. Only by meeting these requirements can downscaling deliver credible, transparent, and actionable information to the urban climate research community and beyond.</w:t>
      </w:r>
    </w:p>
    <w:p w14:paraId="01E79C38" w14:textId="77777777" w:rsidR="00E70D24" w:rsidRPr="0093419A" w:rsidRDefault="00E70D24" w:rsidP="00E70D24">
      <w:pPr>
        <w:rPr>
          <w:rFonts w:asciiTheme="minorHAnsi" w:hAnsiTheme="minorHAnsi" w:cstheme="minorHAnsi"/>
          <w:szCs w:val="20"/>
        </w:rPr>
      </w:pPr>
      <w:r w:rsidRPr="0093419A">
        <w:rPr>
          <w:rFonts w:asciiTheme="minorHAnsi" w:hAnsiTheme="minorHAnsi" w:cstheme="minorHAnsi"/>
          <w:szCs w:val="20"/>
        </w:rPr>
        <w:t xml:space="preserve">In this study, we present </w:t>
      </w:r>
      <w:proofErr w:type="spellStart"/>
      <w:r w:rsidRPr="0093419A">
        <w:rPr>
          <w:rFonts w:asciiTheme="minorHAnsi" w:hAnsiTheme="minorHAnsi" w:cstheme="minorHAnsi"/>
          <w:szCs w:val="20"/>
        </w:rPr>
        <w:t>HiClimaX</w:t>
      </w:r>
      <w:proofErr w:type="spellEnd"/>
      <w:r w:rsidRPr="0093419A">
        <w:rPr>
          <w:rFonts w:asciiTheme="minorHAnsi" w:hAnsiTheme="minorHAnsi" w:cstheme="minorHAnsi"/>
          <w:szCs w:val="20"/>
        </w:rPr>
        <w:t xml:space="preserve">, the High-resolution Climate Downscaling Multi-Approach System. </w:t>
      </w:r>
      <w:proofErr w:type="spellStart"/>
      <w:r w:rsidRPr="0093419A">
        <w:rPr>
          <w:rFonts w:asciiTheme="minorHAnsi" w:hAnsiTheme="minorHAnsi" w:cstheme="minorHAnsi"/>
          <w:szCs w:val="20"/>
        </w:rPr>
        <w:t>HiClimaX</w:t>
      </w:r>
      <w:proofErr w:type="spellEnd"/>
      <w:r w:rsidRPr="0093419A">
        <w:rPr>
          <w:rFonts w:asciiTheme="minorHAnsi" w:hAnsiTheme="minorHAnsi" w:cstheme="minorHAnsi"/>
          <w:szCs w:val="20"/>
        </w:rPr>
        <w:t xml:space="preserve"> has been designed as a modular and extensible framework that integrates six complementary downscaling methods. These are (1) direct dynamical downscaling, (2) pseudo-global warming experiments, (3) statistical–dynamical downscaling, (4) land-surface-physics-based downscaling, (5) statistical downscaling, and (6) AI-based downscaling. Each module addresses a distinct dimension of the downscaling challenge. Dynamical models provide physically consistent simulations of mesoscale processes. Pseudo-global warming experiments allow isolation of climate-change signals during high-impact events. Statistical–dynamical methods combine circulation typing with empirical correction for efficiency. Land-surface-physics-based approaches emphasize the role of urban morphology and anthropogenic heat fluxes. Statistical approaches allow rapid production of long time series. AI-based methods exploit nonlinear pattern recognition to emulate high-resolution fields with reduced computational costs. By combining these diverse modules, </w:t>
      </w:r>
      <w:proofErr w:type="spellStart"/>
      <w:r w:rsidRPr="0093419A">
        <w:rPr>
          <w:rFonts w:asciiTheme="minorHAnsi" w:hAnsiTheme="minorHAnsi" w:cstheme="minorHAnsi"/>
          <w:szCs w:val="20"/>
        </w:rPr>
        <w:t>HiClimaX</w:t>
      </w:r>
      <w:proofErr w:type="spellEnd"/>
      <w:r w:rsidRPr="0093419A">
        <w:rPr>
          <w:rFonts w:asciiTheme="minorHAnsi" w:hAnsiTheme="minorHAnsi" w:cstheme="minorHAnsi"/>
          <w:szCs w:val="20"/>
        </w:rPr>
        <w:t xml:space="preserve"> provides a systematic framework for explicit intercomparison and ensemble generation.</w:t>
      </w:r>
    </w:p>
    <w:p w14:paraId="2D60D1D5" w14:textId="77777777" w:rsidR="00E70D24" w:rsidRPr="0093419A" w:rsidRDefault="00E70D24" w:rsidP="00E70D24">
      <w:pPr>
        <w:rPr>
          <w:rFonts w:asciiTheme="minorHAnsi" w:hAnsiTheme="minorHAnsi" w:cstheme="minorHAnsi"/>
          <w:szCs w:val="20"/>
        </w:rPr>
      </w:pPr>
      <w:r w:rsidRPr="0093419A">
        <w:rPr>
          <w:rFonts w:asciiTheme="minorHAnsi" w:hAnsiTheme="minorHAnsi" w:cstheme="minorHAnsi"/>
          <w:szCs w:val="20"/>
        </w:rPr>
        <w:t xml:space="preserve">The strength of </w:t>
      </w:r>
      <w:proofErr w:type="spellStart"/>
      <w:r w:rsidRPr="0093419A">
        <w:rPr>
          <w:rFonts w:asciiTheme="minorHAnsi" w:hAnsiTheme="minorHAnsi" w:cstheme="minorHAnsi"/>
          <w:szCs w:val="20"/>
        </w:rPr>
        <w:t>HiClimaX</w:t>
      </w:r>
      <w:proofErr w:type="spellEnd"/>
      <w:r w:rsidRPr="0093419A">
        <w:rPr>
          <w:rFonts w:asciiTheme="minorHAnsi" w:hAnsiTheme="minorHAnsi" w:cstheme="minorHAnsi"/>
          <w:szCs w:val="20"/>
        </w:rPr>
        <w:t xml:space="preserve"> lies in this integration. Outputs from different modules are standardized and can be combined into ensembles that make methodological differences explicit. Ensemble products include mean fields, spread statistics, probability distributions, and storyline-based representations that highlight plausible climate futures for cities. The framework is designed for transparency and reproducibility, with all preprocessing and postprocessing steps scripted, and relies on widely available datasets for forcing and evaluation. This openness facilitates replication, encourages collaboration, and lowers barriers for adoption across different regions.</w:t>
      </w:r>
    </w:p>
    <w:p w14:paraId="765EA8C7" w14:textId="77777777" w:rsidR="00E70D24" w:rsidRPr="0093419A" w:rsidRDefault="00E70D24" w:rsidP="00E70D24">
      <w:pPr>
        <w:rPr>
          <w:rFonts w:asciiTheme="minorHAnsi" w:hAnsiTheme="minorHAnsi" w:cstheme="minorHAnsi"/>
          <w:szCs w:val="20"/>
        </w:rPr>
      </w:pPr>
      <w:proofErr w:type="spellStart"/>
      <w:r w:rsidRPr="0093419A">
        <w:rPr>
          <w:rFonts w:asciiTheme="minorHAnsi" w:hAnsiTheme="minorHAnsi" w:cstheme="minorHAnsi"/>
          <w:szCs w:val="20"/>
        </w:rPr>
        <w:t>HiClimaX</w:t>
      </w:r>
      <w:proofErr w:type="spellEnd"/>
      <w:r w:rsidRPr="0093419A">
        <w:rPr>
          <w:rFonts w:asciiTheme="minorHAnsi" w:hAnsiTheme="minorHAnsi" w:cstheme="minorHAnsi"/>
          <w:szCs w:val="20"/>
        </w:rPr>
        <w:t xml:space="preserve"> thus represents a step change for urban climate downscaling. It moves the field from isolated, method-specific studies toward a coherent, transparent, and ensemble-based practice. By bridging the gap between global climate models and city-scale applications, it provides a tool for systematic research, intercomparison exercises, and the delivery of actionable climate information. The framework is not only a research contribution but also a foundation for climate services, urban digital twins, and policy-relevant applications that demand reliable projections of climate change at the scale where most people live.</w:t>
      </w:r>
    </w:p>
    <w:p w14:paraId="308F2C8E" w14:textId="0F6AB6A9" w:rsidR="00200B97" w:rsidRDefault="00200B97" w:rsidP="00200B97">
      <w:pPr>
        <w:pStyle w:val="Heading1"/>
      </w:pPr>
      <w:r>
        <w:t xml:space="preserve">2 </w:t>
      </w:r>
      <w:r w:rsidR="00E70D24" w:rsidRPr="00E70D24">
        <w:t>Conceptual Framework</w:t>
      </w:r>
    </w:p>
    <w:p w14:paraId="0BADDAB1" w14:textId="239BCDCC" w:rsidR="00E70D24" w:rsidRPr="00F63020" w:rsidRDefault="00E70D24" w:rsidP="00E70D24">
      <w:pPr>
        <w:rPr>
          <w:rFonts w:eastAsiaTheme="minorEastAsia"/>
          <w:b/>
          <w:bCs/>
          <w:lang w:val="en-JP"/>
        </w:rPr>
      </w:pPr>
      <w:proofErr w:type="spellStart"/>
      <w:r w:rsidRPr="00F63020">
        <w:rPr>
          <w:rFonts w:eastAsiaTheme="minorEastAsia"/>
        </w:rPr>
        <w:t>HiClimaX</w:t>
      </w:r>
      <w:proofErr w:type="spellEnd"/>
      <w:r w:rsidRPr="00F63020">
        <w:rPr>
          <w:rFonts w:eastAsiaTheme="minorEastAsia"/>
        </w:rPr>
        <w:t xml:space="preserve"> has been conceived as a modular and open-source system with the ambition to deliver high-resolution climate information that can be applied in urban contexts. By bringing together several methodological families into one common </w:t>
      </w:r>
      <w:r w:rsidRPr="00F63020">
        <w:rPr>
          <w:rFonts w:eastAsiaTheme="minorEastAsia"/>
        </w:rPr>
        <w:lastRenderedPageBreak/>
        <w:t xml:space="preserve">framework, </w:t>
      </w:r>
      <w:proofErr w:type="spellStart"/>
      <w:r w:rsidRPr="00F63020">
        <w:rPr>
          <w:rFonts w:eastAsiaTheme="minorEastAsia"/>
        </w:rPr>
        <w:t>HiClimaX</w:t>
      </w:r>
      <w:proofErr w:type="spellEnd"/>
      <w:r w:rsidRPr="00F63020">
        <w:rPr>
          <w:rFonts w:eastAsiaTheme="minorEastAsia"/>
        </w:rPr>
        <w:t xml:space="preserve"> provides a possibility to compare directly the performance of different approaches, to combine their outputs into ensembles, and to evaluate uncertainties in a more systematic way. </w:t>
      </w:r>
    </w:p>
    <w:p w14:paraId="27AB6B7B" w14:textId="77777777" w:rsidR="00E70D24" w:rsidRPr="00F63020" w:rsidRDefault="00E70D24" w:rsidP="00E70D24">
      <w:pPr>
        <w:rPr>
          <w:rFonts w:eastAsiaTheme="minorEastAsia"/>
        </w:rPr>
      </w:pPr>
      <w:r w:rsidRPr="00F63020">
        <w:rPr>
          <w:rFonts w:eastAsiaTheme="minorEastAsia"/>
        </w:rPr>
        <w:t xml:space="preserve">The design philosophy of </w:t>
      </w:r>
      <w:proofErr w:type="spellStart"/>
      <w:r w:rsidRPr="00F63020">
        <w:rPr>
          <w:rFonts w:eastAsiaTheme="minorEastAsia"/>
        </w:rPr>
        <w:t>HiClimaX</w:t>
      </w:r>
      <w:proofErr w:type="spellEnd"/>
      <w:r w:rsidRPr="00F63020">
        <w:rPr>
          <w:rFonts w:eastAsiaTheme="minorEastAsia"/>
        </w:rPr>
        <w:t xml:space="preserve"> is that each downscaling method should exist as an independent module</w:t>
      </w:r>
      <w:r>
        <w:t>/repository</w:t>
      </w:r>
      <w:r w:rsidRPr="00F63020">
        <w:rPr>
          <w:rFonts w:eastAsiaTheme="minorEastAsia"/>
        </w:rPr>
        <w:t>, but all sh</w:t>
      </w:r>
      <w:r>
        <w:t>are</w:t>
      </w:r>
      <w:r w:rsidRPr="00F63020">
        <w:rPr>
          <w:rFonts w:eastAsiaTheme="minorEastAsia"/>
        </w:rPr>
        <w:t xml:space="preserve"> standardized inputs and outputs. In this way, modules can operate separately, yet their results remain directly comparable. Such standardization also lowers the barrier for reproducibility, because the same preprocessing and postprocessing routines can be applied regardless of which module is used. This makes the framework less dependent on project-specific solutions and allows it to function as a general platform across different cities, climates, and datasets.</w:t>
      </w:r>
    </w:p>
    <w:p w14:paraId="7647037B" w14:textId="2E3B27E0" w:rsidR="00E70D24" w:rsidRPr="00F63020" w:rsidRDefault="00E70D24" w:rsidP="00E70D24">
      <w:pPr>
        <w:rPr>
          <w:rFonts w:eastAsiaTheme="minorEastAsia"/>
        </w:rPr>
      </w:pPr>
      <w:r w:rsidRPr="00F63020">
        <w:rPr>
          <w:rFonts w:eastAsiaTheme="minorEastAsia"/>
        </w:rPr>
        <w:t xml:space="preserve">The overall architecture of </w:t>
      </w:r>
      <w:proofErr w:type="spellStart"/>
      <w:r w:rsidRPr="00F63020">
        <w:rPr>
          <w:rFonts w:eastAsiaTheme="minorEastAsia"/>
        </w:rPr>
        <w:t>HiClimaX</w:t>
      </w:r>
      <w:proofErr w:type="spellEnd"/>
      <w:r w:rsidRPr="00F63020">
        <w:rPr>
          <w:rFonts w:eastAsiaTheme="minorEastAsia"/>
        </w:rPr>
        <w:t xml:space="preserve"> is built on three pillars. The first pillar is the data interface, which is responsible for </w:t>
      </w:r>
      <w:r w:rsidR="0093419A">
        <w:rPr>
          <w:rFonts w:eastAsiaTheme="minorEastAsia"/>
        </w:rPr>
        <w:t>downloading</w:t>
      </w:r>
      <w:r w:rsidRPr="00F63020">
        <w:rPr>
          <w:rFonts w:eastAsiaTheme="minorEastAsia"/>
        </w:rPr>
        <w:t xml:space="preserve"> and preparing a wide range of datasets, including reanalysis products, GCM outputs, city-scale land-surface information, and observations. These data are harmonized to common formats, grid resolutions, and variable conventions, which otherwise are a frequent obstacle in urban modelling. The second pillar is the suite of downscaling modules, which presently consists of six families: direct dynamical downscaling, pseudo-global warming experiments, statistical–dynamical methods, land-surface-physics-based schemes, conventional statistical approaches, and AI-driven models. Together, they provide a balance between physical realism, computational efficiency, and flexibility in data demands. The third pillar is the postprocessing and integration layer, where bias corrections, ensemble calculations, and visualization routines are applied. This layer ensures that results are not only technically consistent but also usable for impact studies and stakeholder communication.</w:t>
      </w:r>
    </w:p>
    <w:p w14:paraId="1D5D6F8F" w14:textId="02B89FB5" w:rsidR="00E70D24" w:rsidRDefault="00E70D24" w:rsidP="00E70D24">
      <w:r w:rsidRPr="00F63020">
        <w:rPr>
          <w:rFonts w:eastAsiaTheme="minorEastAsia"/>
        </w:rPr>
        <w:t xml:space="preserve">An important characteristic of </w:t>
      </w:r>
      <w:proofErr w:type="spellStart"/>
      <w:r w:rsidRPr="00F63020">
        <w:rPr>
          <w:rFonts w:eastAsiaTheme="minorEastAsia"/>
        </w:rPr>
        <w:t>HiClimaX</w:t>
      </w:r>
      <w:proofErr w:type="spellEnd"/>
      <w:r w:rsidRPr="00F63020">
        <w:rPr>
          <w:rFonts w:eastAsiaTheme="minorEastAsia"/>
        </w:rPr>
        <w:t xml:space="preserve"> is its extensibility. New modules or new datasets can be incorporated with relatively small effort, as long as they follow the standardized interfaces. For example, if a new AI architecture is developed, it can be added as another module without disturbing the existing system. Similarly, new urban morphological datasets can be introduced in the preprocessing routines with limited modification. This property makes </w:t>
      </w:r>
      <w:proofErr w:type="spellStart"/>
      <w:r w:rsidRPr="00F63020">
        <w:rPr>
          <w:rFonts w:eastAsiaTheme="minorEastAsia"/>
        </w:rPr>
        <w:t>HiClimaX</w:t>
      </w:r>
      <w:proofErr w:type="spellEnd"/>
      <w:r w:rsidRPr="00F63020">
        <w:rPr>
          <w:rFonts w:eastAsiaTheme="minorEastAsia"/>
        </w:rPr>
        <w:t xml:space="preserve"> future-proof and relevant for both scientific exploration and practical climate services.</w:t>
      </w:r>
    </w:p>
    <w:p w14:paraId="4ED54D35" w14:textId="77777777" w:rsidR="00E70D24" w:rsidRDefault="00E70D24" w:rsidP="00E70D24">
      <w:pPr>
        <w:pStyle w:val="Heading3"/>
      </w:pPr>
      <w:r>
        <w:t>2.1 Downscaling modules / repositories</w:t>
      </w:r>
    </w:p>
    <w:p w14:paraId="526D95B3" w14:textId="423CE1FF" w:rsidR="0093419A" w:rsidRPr="0093419A" w:rsidRDefault="0093419A" w:rsidP="0093419A">
      <w:r>
        <w:t xml:space="preserve">The central innovation of </w:t>
      </w:r>
      <w:proofErr w:type="spellStart"/>
      <w:r>
        <w:t>HiClimaX</w:t>
      </w:r>
      <w:proofErr w:type="spellEnd"/>
      <w:r>
        <w:t xml:space="preserve"> lies in its integration of six downscaling families, each of which has been widely used in the climate community but rarely combined in a systematic way. </w:t>
      </w:r>
    </w:p>
    <w:p w14:paraId="67FFC97C" w14:textId="77777777" w:rsidR="00E70D24" w:rsidRDefault="00E70D24" w:rsidP="00E70D24">
      <w:pPr>
        <w:pStyle w:val="Heading3"/>
      </w:pPr>
      <w:r>
        <w:t>(a) Direct dynamical downscaling</w:t>
      </w:r>
    </w:p>
    <w:p w14:paraId="5AE19514" w14:textId="2FF600CC" w:rsidR="00E70D24" w:rsidRDefault="00E70D24" w:rsidP="00E70D24">
      <w:pPr>
        <w:rPr>
          <w:lang w:val="en-JP"/>
        </w:rPr>
      </w:pPr>
      <w:r>
        <w:t xml:space="preserve">Direct dynamical downscaling employs regional climate models (RCMs), such as the Weather Research and Forecasting model or </w:t>
      </w:r>
      <w:proofErr w:type="spellStart"/>
      <w:r>
        <w:t>RegCM</w:t>
      </w:r>
      <w:proofErr w:type="spellEnd"/>
      <w:r>
        <w:t xml:space="preserve">, to generate physically consistent fields at kilometre-scale resolution </w:t>
      </w:r>
      <w:r>
        <w:fldChar w:fldCharType="begin"/>
      </w:r>
      <w:r>
        <w:instrText xml:space="preserve"> ADDIN ZOTERO_ITEM CSL_CITATION {"citationID":"paCxHfz8","properties":{"formattedCitation":"(Skamarock {\\i{}et al.}, 2008; Giorgi, 2019: 201)","plainCitation":"(Skamarock et al., 2008; Giorgi, 2019: 201)","dontUpdate":true,"noteIndex":0},"citationItems":[{"id":199,"uris":["http://zotero.org/users/7451647/items/M8U6TRNC"],"itemData":{"id":199,"type":"document","abstract":"The Technical Note series provides an outlet for a variety of NCAR manuscripts that contribute in specialized ways to the body of scientific knowledge but which are not suitable for journal, monograph, or book publication. Reports in this series are issued by the NCAR Scientific Di-visions; copies may be obtained on request from the Publications Office of NCAR. Designation symbols for the series include: EDD: Engineering, Design, or Development Reports Equipment descriptions, test results, instrumentation, and operating and maintenance manuals. IA: Instructional Aids Instruction manuals, bibliographies, film supplements, and other research or instructional aids. PPR: Program Progress Reports Field program reports, interim and working reports, survey reports, and plans for experiments. PROC: Proceedings Documentation of symposia, colloquia, conferences, workshops, and lectures. (Distribution may be limited to attendees.)","source":"CiteSeer","title":"A description of the Advanced Research WRF version 3. NCAR Technical note -475+STR","author":[{"family":"Skamarock","given":"William C."},{"family":"Klemp","given":"Joseph B."},{"family":"Dudhia","given":"Jimy"},{"family":"Gill","given":"David O."},{"family":"Barker","given":"Dale M."},{"family":"Wang","given":"Wei"},{"family":"Powers","given":"Jordan G."}],"issued":{"date-parts":[["2008"]]}}},{"id":5036,"uris":["http://zotero.org/users/7451647/items/SHHHE9V2"],"itemData":{"id":5036,"type":"article-journal","abstract":"The year 2019 marks the thirtieth anniversary of the development of the first regional climate model (RCM), and here an overview is provided of the progress in regional modeling research and of the main challenges lying ahead. RCMs were primarily developed to provide fine-scale climate information for impact studies, but they have evolved into general and multipurpose modeling tools. Among the main achievements in RCM research the focus is on: the development of community RCMs applicable to a wide variety of studies and regional contexts; the increase of model simulation length up to centennial scales and spatial resolutions up to convection-permitting scales (few kilometers), leading to a better understanding of regional to local climate change signals; the development of fully coupled Regional Earth System Models; the inception of intercomparison projects culminating in the international Coordinated Regional Climate Downscaling Experiment; the extensive use of RCM simulations for impact assessments; and the involvement of the scientific community from developing countries in climate modeling research. Among the outstanding issues in need of more attention are the Added Value of using this downscaling technique; various technical aspects concerning RCM simulations; and uncertainties in RCM-based climate projections. Future directions in RCM research are discussed, with highlight on: transition to convection-permitting modeling systems; further development of Regional Earth System Models including the human component; next phase of the Coordinated Regional Climate Downscaling Experiment project; and use of RCMs in the distillation of actionable information for contribution to climate service activities. A brief historical overview of regional climate modeling is also presented.","container-title":"Journal of Geophysical Research: Atmospheres","DOI":"10.1029/2018JD030094","ISSN":"2169-8996","issue":"11","language":"en","license":"©2019. American Geophysical Union. All Rights Reserved.","note":"_eprint: https://onlinelibrary.wiley.com/doi/pdf/10.1029/2018JD030094","page":"5696-5723","source":"Wiley Online Library","title":"Thirty Years of Regional Climate Modeling: Where Are We and Where Are We Going next?","title-short":"Thirty Years of Regional Climate Modeling","volume":"124","author":[{"family":"Giorgi","given":"Filippo"}],"issued":{"date-parts":[["2019"]]}},"locator":"201"}],"schema":"https://github.com/citation-style-language/schema/raw/master/csl-citation.json"} </w:instrText>
      </w:r>
      <w:r>
        <w:fldChar w:fldCharType="separate"/>
      </w:r>
      <w:r w:rsidRPr="00433374">
        <w:rPr>
          <w:sz w:val="24"/>
        </w:rPr>
        <w:t xml:space="preserve">(Skamarock </w:t>
      </w:r>
      <w:r w:rsidRPr="00433374">
        <w:rPr>
          <w:i/>
          <w:iCs/>
          <w:sz w:val="24"/>
        </w:rPr>
        <w:t>et al.</w:t>
      </w:r>
      <w:r w:rsidRPr="00433374">
        <w:rPr>
          <w:sz w:val="24"/>
        </w:rPr>
        <w:t>, 2008; Giorgi, 2019)</w:t>
      </w:r>
      <w:r>
        <w:fldChar w:fldCharType="end"/>
      </w:r>
      <w:r>
        <w:t xml:space="preserve">. By using boundary conditions from global climate models (GCMs) or reanalyses, these simulations dynamically resolve atmospheric processes at 1–5 km grid spacing. At this scale, RCMs can represent mesoscale features critical for cities, including sea breezes, convective storm development, and land–atmosphere feedbacks </w:t>
      </w:r>
      <w:r>
        <w:fldChar w:fldCharType="begin"/>
      </w:r>
      <w:r>
        <w:instrText xml:space="preserve"> ADDIN ZOTERO_ITEM CSL_CITATION {"citationID":"vkqZJg24","properties":{"formattedCitation":"(Prein {\\i{}et al.}, 2017)","plainCitation":"(Prein et al., 2017)","noteIndex":0},"citationItems":[{"id":144,"uris":["http://zotero.org/users/7451647/items/K62NIEWR"],"itemData":{"id":144,"type":"article-journal","abstract":"\"Challenges and Advances in Convection-Permitting Climate Modeling\" published on May 2017 by American Meteorological Society.","container-title":"Bulletin of the American Meteorological Society","DOI":"10.1175/BAMS-D-16-0263.1","ISSN":"0003-0007, 1520-0477","issue":"5","language":"EN","note":"publisher: American Meteorological Society\nsection: Bulletin of the American Meteorological Society","page":"1027-1030","source":"journals.ametsoc.org","title":"Challenges and Advances in Convection-Permitting Climate Modeling","volume":"98","author":[{"family":"Prein","given":"Andreas F."},{"family":"Rasmussen","given":"Roy"},{"family":"Stephens","given":"Graeme"}],"issued":{"date-parts":[["2017",5,1]]}}}],"schema":"https://github.com/citation-style-language/schema/raw/master/csl-citation.json"} </w:instrText>
      </w:r>
      <w:r>
        <w:fldChar w:fldCharType="separate"/>
      </w:r>
      <w:r w:rsidRPr="000C6CFF">
        <w:rPr>
          <w:sz w:val="24"/>
        </w:rPr>
        <w:t xml:space="preserve">(Prein </w:t>
      </w:r>
      <w:r w:rsidRPr="000C6CFF">
        <w:rPr>
          <w:i/>
          <w:iCs/>
          <w:sz w:val="24"/>
        </w:rPr>
        <w:t>et al.</w:t>
      </w:r>
      <w:r w:rsidRPr="000C6CFF">
        <w:rPr>
          <w:sz w:val="24"/>
        </w:rPr>
        <w:t>, 2017)</w:t>
      </w:r>
      <w:r>
        <w:fldChar w:fldCharType="end"/>
      </w:r>
      <w:r>
        <w:t>.</w:t>
      </w:r>
    </w:p>
    <w:p w14:paraId="1B2103D9" w14:textId="77777777" w:rsidR="00E70D24" w:rsidRPr="00E55701" w:rsidRDefault="00E70D24" w:rsidP="00E70D24">
      <w:pPr>
        <w:rPr>
          <w:lang w:val="en-JP"/>
        </w:rPr>
      </w:pPr>
      <w:r>
        <w:lastRenderedPageBreak/>
        <w:t xml:space="preserve">A distinctive advantage of this approach is its physical consistency. All variables—temperature, wind, precipitation, surface fluxes—are solved simultaneously from the governing equations, allowing interactions and feedback to emerge naturally. Urban versions of RCMs employ detailed parameterizations of building geometry, canyon radiation, impervious surfaces, vegetation, and anthropogenic heat emissions </w:t>
      </w:r>
      <w:r>
        <w:fldChar w:fldCharType="begin"/>
      </w:r>
      <w:r>
        <w:instrText xml:space="preserve"> ADDIN ZOTERO_ITEM CSL_CITATION {"citationID":"1Ze7T8Y0","properties":{"formattedCitation":"(Kusaka {\\i{}et al.}, 2001; Martilli {\\i{}et al.}, 2002; Best {\\i{}et al.}, 2011; Doan and Kusaka, 2019)","plainCitation":"(Kusaka et al., 2001; Martilli et al., 2002; Best et al., 2011; Doan and Kusaka, 2019)","noteIndex":0},"citationItems":[{"id":198,"uris":["http://zotero.org/users/7451647/items/29MVSRP5"],"itemData":{"id":198,"type":"article-journal","abstract":"We developed a simple, single-layer urban canopy model, and comparedit to both multi-layer and slab models. Our single-layer model has thefollowing features: (a) It is a column model of energy and momentumexchange between an urban surface and the atmosphere, (b) it includesthe influence of street canyons, which are parameterized to representthe urban geometry, (c) it includes shadowing from buildings andreflection of radiation, and (d) it estimates both the surfacetemperatures of, and heat fluxes from, three surface types: roof, wall,and road. In the simulation of the single-layer model, the roof washottest during the daytime, but coolest from midnight to early morning.This is consistent with output from the multi-layer model and fieldobservations at a residential area on a clear, summer day. The diurnalvariation of the energy budget from the single-layer model agrees wellwith that from the multi-layer model. Our single-layer model'sperformance is nearly that of a multi-layer model for studyingmesoscale heat islands. Nevertheless, it is simply parameterized,and thus easily included in larger-scale atmospheric models. The slabmodel has the largest nighttime cooling rate of the three models. Toovercome this, it needs more adjustments than for the canopy models.","container-title":"Boundary-Layer Meteorology","DOI":"10.1023/A:1019207923078","ISSN":"1573-1472","issue":"3","journalAbbreviation":"Boundary-Layer Meteorology","language":"en","page":"329-358","source":"Springer Link","title":"A Simple Single-Layer Urban Canopy Model For Atmospheric Models: Comparison With Multi-Layer And Slab Models","title-short":"A Simple Single-Layer Urban Canopy Model For Atmospheric Models","volume":"101","author":[{"family":"Kusaka","given":"Hiroyuki"},{"family":"Kondo","given":"Hiroaki"},{"family":"Kikegawa","given":"Yokihiro"},{"family":"Kimura","given":"Fujio"}],"issued":{"date-parts":[["2001",12,1]]}}},{"id":5181,"uris":["http://zotero.org/users/7451647/items/KZGYMJTN"],"itemData":{"id":5181,"type":"article-journal","abstract":"A scheme to represent the impact of urban buildings on airflow in mesoscale atmospheric models is presented. In the scheme, the buildings are not explicitly resolved, but their effects on the grid-averaged variables are parameterised. An urban quarter is characterised by a horizontal building size, a street canyon width and a building density as a function of height. The module computes the impact of the horizontal (roof and canyon floor) and vertical (walls) surfaces on the wind speed, temperature and turbulent kinetic energy. The computation of the shortwave and longwave radiation, needed to compute the temperature of the urban surfaces, takes into account the shadowing and radiation trapping effects induced by the urban canyons. The computation of the turbulent length scales in the TKE equation is also modified to take into account the presence of the buildings.","container-title":"Boundary-Layer Meteorology","DOI":"10.1023/A:1016099921195","ISSN":"1573-1472","issue":"2","journalAbbreviation":"Boundary-Layer Meteorology","language":"en","page":"261-304","source":"Springer Link","title":"An Urban Surface Exchange Parameterisation for Mesoscale Models","volume":"104","author":[{"family":"Martilli","given":"Alberto"},{"family":"Clappier","given":"Alain"},{"family":"Rotach","given":"Mathias W."}],"issued":{"date-parts":[["2002",8,1]]}}},{"id":5124,"uris":["http://zotero.org/users/7451647/items/LLG6J6HI"],"itemData":{"id":5124,"type":"article-journal","abstract":"This manuscript describes the energy and water components of a new community land surface model called the Joint UK Land Environment Simulator (JULES). This is developed from the Met Office Surface Exchange Scheme (MOSES). It can be used as a stand alone land surface model driven by observed forcing data, or coupled to an atmospheric global circulation model. The JULES model has been coupled to the Met Office Unified Model (UM) and as such provides a unique opportunity for the research community to contribute their research to improve both world-leading operational weather forecasting and climate change prediction systems. In addition JULES, and its forerunner MOSES, have been the basis for a number of very high-profile papers concerning the land-surface and climate over the last decade. JULES has a modular structure aligned to physical processes, providing the basis for a flexible modelling platform.","container-title":"Geoscientific Model Development","DOI":"10.5194/gmd-4-677-2011","ISSN":"1991-959X","issue":"3","language":"English","note":"publisher: Copernicus GmbH","page":"677-699","source":"Copernicus Online Journals","title":"The Joint UK Land Environment Simulator (JULES), model description – Part 1: Energy and water fluxes","title-short":"The Joint UK Land Environment Simulator (JULES), model description – Part 1","volume":"4","author":[{"family":"Best","given":"M. J."},{"family":"Pryor","given":"M."},{"family":"Clark","given":"D. B."},{"family":"Rooney","given":"G. G."},{"family":"Essery","given":"R. L. H."},{"family":"Ménard","given":"C. B."},{"family":"Edwards","given":"J. M."},{"family":"Hendry","given":"M. A."},{"family":"Porson","given":"A."},{"family":"Gedney","given":"N."},{"family":"Mercado","given":"L. M."},{"family":"Sitch","given":"S."},{"family":"Blyth","given":"E."},{"family":"Boucher","given":"O."},{"family":"Cox","given":"P. M."},{"family":"Grimmond","given":"C. S. B."},{"family":"Harding","given":"R. J."}],"issued":{"date-parts":[["2011",9,1]]}}},{"id":272,"uris":["http://zotero.org/users/7451647/items/Y5Q58Y5W"],"itemData":{"id":272,"type":"article-journal","abstract":"This study introduces a new multiple-layer urban canopy model (MUCM) combined with a ray-tracing algorithm. In the model, we parameterize the urban morphology as an infinite array of identical three-dimensional buildings separated by roads. Heat exchanges are solved for each urban surface at each vertical layer. The ray-tracing scheme is used to explicitly calculate the view factors as well as both the sunlit and shadow fractions of the urban surfaces during the daytime. As a test, we show that this combined MUCM accurately models observations at Kugahara, Tokyo. Thus, the combined MUCM is a new tool for urban climate modelers to more realistically represent radiative processes on urban surfaces. In particular, it may contribute to our understanding of urban climate in the mega-cities of Asia, which generally have high-rise buildings that are more difficult to model with simpler radiative schemes.","container-title":"Scientific Online Letters on the Atmosphere","DOI":"10.2151/sola.2019-008","page":"37-40","source":"J-Stage","title":"Development of a Multilayer Urban Canopy Model Combined with a Ray Tracing Algorithm","volume":"15","author":[{"family":"Doan","given":"Van Q."},{"family":"Kusaka","given":"Hiroyuki"}],"issued":{"date-parts":[["2019"]]}}}],"schema":"https://github.com/citation-style-language/schema/raw/master/csl-citation.json"} </w:instrText>
      </w:r>
      <w:r>
        <w:fldChar w:fldCharType="separate"/>
      </w:r>
      <w:r w:rsidRPr="00D729B1">
        <w:rPr>
          <w:sz w:val="24"/>
        </w:rPr>
        <w:t xml:space="preserve">(Kusaka </w:t>
      </w:r>
      <w:r w:rsidRPr="00D729B1">
        <w:rPr>
          <w:i/>
          <w:iCs/>
          <w:sz w:val="24"/>
        </w:rPr>
        <w:t>et al.</w:t>
      </w:r>
      <w:r w:rsidRPr="00D729B1">
        <w:rPr>
          <w:sz w:val="24"/>
        </w:rPr>
        <w:t xml:space="preserve">, 2001; Martilli </w:t>
      </w:r>
      <w:r w:rsidRPr="00D729B1">
        <w:rPr>
          <w:i/>
          <w:iCs/>
          <w:sz w:val="24"/>
        </w:rPr>
        <w:t>et al.</w:t>
      </w:r>
      <w:r w:rsidRPr="00D729B1">
        <w:rPr>
          <w:sz w:val="24"/>
        </w:rPr>
        <w:t xml:space="preserve">, 2002; Best </w:t>
      </w:r>
      <w:r w:rsidRPr="00D729B1">
        <w:rPr>
          <w:i/>
          <w:iCs/>
          <w:sz w:val="24"/>
        </w:rPr>
        <w:t>et al.</w:t>
      </w:r>
      <w:r w:rsidRPr="00D729B1">
        <w:rPr>
          <w:sz w:val="24"/>
        </w:rPr>
        <w:t>, 2011; Doan and Kusaka, 2019)</w:t>
      </w:r>
      <w:r>
        <w:fldChar w:fldCharType="end"/>
      </w:r>
      <w:r>
        <w:t>. This enables simulations of heatwave amplification by the urban heat island (UHI), localized flooding from short-duration rainfall, or ventilation pathways within dense city cores.</w:t>
      </w:r>
    </w:p>
    <w:p w14:paraId="5C9D5EAB" w14:textId="77777777" w:rsidR="00E70D24" w:rsidRDefault="00E70D24" w:rsidP="00E70D24">
      <w:r>
        <w:t>Numerous case studies highlight the value of direct dynamical downscaling for urban applications. WRF-UCM has been applied in Tokyo to assess how urban form and coastal breezes shape nocturnal UHI intensities and their health impacts (Kusaka et al., 2012). In Beijing, coupled WRF-urban simulations have been used to evaluate the effectiveness of green roofs and reflective surfaces as mitigation strategies under extreme heat (Zhang et al., 2019). In Europe, convection-permitting RCMs have been used to examine how urban land cover modifies the frequency of heavy summer rainfall events (Daniel et al., 2019). These examples demonstrate the potential of the method to support both scientific understanding and practical policy, such as urban planning, heat adaptation, and flood risk management.</w:t>
      </w:r>
    </w:p>
    <w:p w14:paraId="1C45A0DD" w14:textId="77777777" w:rsidR="00E70D24" w:rsidRDefault="00E70D24" w:rsidP="00E70D24">
      <w:r>
        <w:t xml:space="preserve">The main limitation is computational cost. Running multi-decadal simulations at kilometre scale requires high-performance computing and weeks to months of runtime, restricting ensemble size and scenario coverage. Multi-decadal simulations at 1–3 km resolution demand high-performance computing and restrict ensemble size. Model results are also sensitive to physical parameterizations, particularly convection, turbulence, and surface fluxes, which introduces uncertainty in extremes (Feser et al., 2011; </w:t>
      </w:r>
      <w:proofErr w:type="spellStart"/>
      <w:r>
        <w:t>Rummukainen</w:t>
      </w:r>
      <w:proofErr w:type="spellEnd"/>
      <w:r>
        <w:t xml:space="preserve">, 2016). Despite these challenges, direct dynamical downscaling remains the benchmark approach in urban climate studies. it underpins CORDEX regional experiments, provides reference datasets for testing novel methods Within </w:t>
      </w:r>
      <w:proofErr w:type="spellStart"/>
      <w:r>
        <w:t>HiClimaX</w:t>
      </w:r>
      <w:proofErr w:type="spellEnd"/>
      <w:r>
        <w:t>, it anchors the ensemble framework by providing physically robust simulations against which other, more efficient methods can be compared.</w:t>
      </w:r>
    </w:p>
    <w:p w14:paraId="3638F07D" w14:textId="77777777" w:rsidR="00E70D24" w:rsidRPr="00E70D24" w:rsidRDefault="00E70D24" w:rsidP="00E70D24">
      <w:pPr>
        <w:pStyle w:val="Heading3"/>
      </w:pPr>
      <w:r>
        <w:t>(b) Pseudo-global warming</w:t>
      </w:r>
    </w:p>
    <w:p w14:paraId="416EB9B6" w14:textId="77777777" w:rsidR="00E70D24" w:rsidRDefault="00E70D24" w:rsidP="00E70D24">
      <w:pPr>
        <w:rPr>
          <w:lang w:val="en-JP"/>
        </w:rPr>
      </w:pPr>
      <w:r>
        <w:t>Pseudo-global warming (PGW) experiments represent a flexible variant of dynamical downscaling. Instead of running long continuous simulations, PGW applies large-scale climate change perturbations derived from global climate models (GCMs) to reanalysis-driven weather events</w:t>
      </w:r>
      <w:r>
        <w:rPr>
          <w:lang w:val="vi-VN"/>
        </w:rPr>
        <w:t xml:space="preserve"> </w:t>
      </w:r>
      <w:r>
        <w:rPr>
          <w:lang w:val="vi-VN"/>
        </w:rPr>
        <w:fldChar w:fldCharType="begin"/>
      </w:r>
      <w:r>
        <w:rPr>
          <w:lang w:val="vi-VN"/>
        </w:rPr>
        <w:instrText xml:space="preserve"> ADDIN ZOTERO_ITEM CSL_CITATION {"citationID":"79iKXo0B","properties":{"formattedCitation":"(Sato {\\i{}et al.}, 2007)","plainCitation":"(Sato et al., 2007)","noteIndex":0},"citationItems":[{"id":188,"uris":["http://zotero.org/users/7451647/items/8RSNIETD"],"itemData":{"id":188,"type":"article-journal","abstract":"Climate change due to global warming is of concern to the public and may cause significant changes in the hydrological regimes in arid/semi-arid areas including Mongolia, which locates at a boundary between arid and humid regions. However, general circulation models (GCMs) are not sufficient to evaluate climate change on a regional-scale. In this study, two kinds of dynamical downscaling (DDS), referred to as method-G and method-R, using a regional climate model (RCM) are applied to investigate the rainfall change over Mongolia in July due to the global warming. Method-G is a traditional DDS method in which an RCM is directly nested within a GCM, while method-R is newly suggested in this study and aims to improve the reproductivity of a regional climate. For current climate simulation, method-R uses reanalysis data as a boundary forcing of the RCM while a specially created boundary condition, in which projected changes of meteorological variables in a GCM simulation are added on reanalysis data, is used for global warming simulation. Compared with in situ observations, the rainfall amount for July is very well reproduced by the RCM, even in a smaller area of four subregions in Mongolia. Rainfall intensity by method-R is very close to actual observations; on the other hand, method-G fails to simulate heavy rainfall events stronger than 16mmday−1. The two DDS methods show similar results with respect to the changes of precipitation in July due to the global warming, which are that precipitation decreases over northern and increases over southern Mongolia. In method-R, a decrease of precipitation of middle to heavy rainfall intensity, stronger than 4mmday−1, contributes largely to the decreased July precipitation in northern Mongolia. Soil moisture over Mongolia also tends to decrease in July because of the combined effect caused by the decrease of precipitation and the increase of potential evaporation due to rising air temperature. This situation indicates that severe droughts may occur more frequently from the effects of global warming.","collection-title":"The Rangelands Atmosphere-hydrosphere-biosphere Interaction Study Experiment in Northeastern Asia (RAISE)","container-title":"Journal of Hydrology","DOI":"10.1016/j.jhydrol.2006.07.023","ISSN":"0022-1694","issue":"1","journalAbbreviation":"Journal of Hydrology","language":"en","page":"144-154","source":"ScienceDirect","title":"Projection of global warming onto regional precipitation over Mongolia using a regional climate model","volume":"333","author":[{"family":"Sato","given":"Tomonori"},{"family":"Kimura","given":"Fujio"},{"family":"Kitoh","given":"Akio"}],"issued":{"date-parts":[["2007",1,30]]}}}],"schema":"https://github.com/citation-style-language/schema/raw/master/csl-citation.json"} </w:instrText>
      </w:r>
      <w:r>
        <w:rPr>
          <w:lang w:val="vi-VN"/>
        </w:rPr>
        <w:fldChar w:fldCharType="separate"/>
      </w:r>
      <w:r w:rsidRPr="00C868F8">
        <w:rPr>
          <w:sz w:val="24"/>
        </w:rPr>
        <w:t xml:space="preserve">(Sato </w:t>
      </w:r>
      <w:r w:rsidRPr="00C868F8">
        <w:rPr>
          <w:i/>
          <w:iCs/>
          <w:sz w:val="24"/>
        </w:rPr>
        <w:t>et al.</w:t>
      </w:r>
      <w:r w:rsidRPr="00C868F8">
        <w:rPr>
          <w:sz w:val="24"/>
        </w:rPr>
        <w:t>, 2007)</w:t>
      </w:r>
      <w:r>
        <w:rPr>
          <w:lang w:val="vi-VN"/>
        </w:rPr>
        <w:fldChar w:fldCharType="end"/>
      </w:r>
      <w:r>
        <w:t xml:space="preserve"> . The perturbed boundary conditions are then used to force an urbanized regional climate model (e.g., WRF-UCM), allowing the simulation of extreme events such as typhoons, heatwaves, or convective storms under future climate conditions. This method preserves the synoptic setting of real historical events while embedding the thermodynamic changes expected from global warming.</w:t>
      </w:r>
    </w:p>
    <w:p w14:paraId="4FD74DD6" w14:textId="1D574ABB" w:rsidR="00E70D24" w:rsidRDefault="00E70D24" w:rsidP="00E70D24">
      <w:r>
        <w:t xml:space="preserve">Compared to conventional direct dynamical downscaling, PGW is more computationally efficient because it does not require multi-decadal integrations. Instead, it targets specific high-impact episodes, making it well suited for attribution studies and for stress-testing cities against plausible future extremes. For example, PGW experiments have been applied to investigate projected rainfall intensification from tropical cyclones over Japan (Yoshida et al., 2017), to explore future changes in </w:t>
      </w:r>
      <w:r>
        <w:lastRenderedPageBreak/>
        <w:t>heatwave characteristics in Europe (</w:t>
      </w:r>
      <w:proofErr w:type="spellStart"/>
      <w:r>
        <w:t>Schär</w:t>
      </w:r>
      <w:proofErr w:type="spellEnd"/>
      <w:r>
        <w:t xml:space="preserve"> et al., 2004), and to examine future flood risk in Asian megacities through modified typhoon simulations (Kawase et al., 2015) and how local convection extreme changes under global warming </w:t>
      </w:r>
      <w:r>
        <w:fldChar w:fldCharType="begin"/>
      </w:r>
      <w:r>
        <w:instrText xml:space="preserve"> ADDIN ZOTERO_ITEM CSL_CITATION {"citationID":"n2u6imzq","properties":{"formattedCitation":"(Doan {\\i{}et al.}, 2022b, 2022c, 2022a)","plainCitation":"(Doan et al., 2022b, 2022c, 2022a)","noteIndex":0},"citationItems":[{"id":1271,"uris":["http://zotero.org/users/7451647/items/WUJZZMDM"],"itemData":{"id":1271,"type":"article-journal","abstract":"Understanding the response of extreme precipitation (EP) at a city scale to global warming is critical to reducing the respective risk of urban flooding. Yet, current knowledge on this issue is limited. Here, focusing on an urban agglomeration in the tropics, Singapore, we reveal that future global warming enhances both frequency and intensity of EP, based on simulations with a state-of-the-art convection-permitting regional climate model. EP intensification can reach maximum “super” Clausius-Clapeyron rate (+7% per K warming) rate, implying a “new normal” of “extreme events get more extreme,” which is consistently for both Representative Concentration Pathways 8.5 and 4.5. The intensification is lower for moderate and light precipitation. Also, global warming was found to dampen the urban effect on EP events. The EP enhancement is attributed to the increased atmospheric moisture and convective inhibition due to enhanced low-level stratification that delays a convection to develop until it becomes more intense.","container-title":"Earth's Future","DOI":"10.1029/2021EF002563","ISSN":"2328-4277","issue":"6","language":"en","note":"_eprint: https://onlinelibrary.wiley.com/doi/pdf/10.1029/2021EF002563","page":"e2021EF002563","source":"Wiley Online Library","title":"Increased Risk of Extreme Precipitation Over an Urban Agglomeration With Future Global Warming","volume":"10","author":[{"family":"Doan","given":"Quang-Van"},{"family":"Chen","given":"Fei"},{"family":"Kusaka","given":"Hiroyuki"},{"family":"Dipankar","given":"Anurag"},{"family":"Khan","given":"Ansar"},{"family":"Hamdi","given":"Rafiq"},{"family":"Roth","given":"Matthias"},{"family":"Niyogi","given":"Dev"}],"issued":{"date-parts":[["2022",4]]}}},{"id":4040,"uris":["http://zotero.org/users/7451647/items/K7E2GE27"],"itemData":{"id":4040,"type":"article-journal","abstract":"Identifying the change of city-scale extreme precipitation (EP) under the “new normal” of global climate is critical for various urban risk assessments. Here, we investigate the change of hourly EP caused by warmer climate regimes in a large urban agglomeration in midlatitude, Tokyo, Japan. We use pseudo-global warming dynamical downscaling approach with a convection-permitting regional climate model considering two Representative Concentration Pathways scenarios 8.5 and 4.5 to simulate the August climate for the present (2005–2014) and the future time (up to 2100). The results show a substantial enhancement of local hourly precipitation regarding both frequency and intensity. Framing the change with Clausius-Clapeyron (CC) scaling relation, which is of approximately 7% per K warming, we confirmed the paradigm of “extreme gets more extreme” in the future local hourly precipitation. The 0.99 quantile precipitation is intensified at the super CC scaling rate (3 CC); whereas the intensification of lower-quantile precipitation is at the sub-CC rate. The EP intensification is much stronger than that reported for a tropical city, highlighting geographical diversity in precipitation response to the global warming effect. The EP intensification is attributed to the global-warming caused convective inhibition (CIN) enhancement. Enhanced CIN temporarily delays weak convections to initiate, allowing it to build up further, and when the convection does trigger, it becomes intense.","container-title":"Journal of Geophysical Research: Atmospheres","DOI":"10.1029/2022JD036810","ISSN":"2169-8996","issue":"21","language":"en","note":"_eprint: https://onlinelibrary.wiley.com/doi/pdf/10.1029/2022JD036810","page":"e2022JD036810","source":"Wiley Online Library","title":"Identifying a New Normal in Extreme Precipitation at a City Scale Under Warmer Climate Regimes: A Case Study of the Tokyo Metropolitan Area, Japan","title-short":"Identifying a New Normal in Extreme Precipitation at a City Scale Under Warmer Climate Regimes","volume":"127","author":[{"family":"Doan","given":"Quang-Van"},{"family":"Chen","given":"Fei"},{"family":"Kusaka","given":"Hiroyuki"},{"family":"Wang","given":"Jie"},{"family":"Kajino","given":"Mizuo"},{"family":"Takemi","given":"Tetsuya"}],"issued":{"date-parts":[["2022",10]]}}},{"id":4044,"uris":["http://zotero.org/users/7451647/items/SIMAZYHG"],"itemData":{"id":4044,"type":"article-journal","abstract":"Defined as the difference between the daily maximum (Tmax) and minimum surface air temperature (Tmin), the diurnal temperature range (DTR) is critical to local climate, ecosystem, and socio-economic functioning. This study investigates how DTR responds to the future global warming, using a novel, fine-resolution convection-permitting regional climate model. Results demonstrate the asymmetrical impact of global warming, that is, the more substantial warming in Tmin, and the lower in Tmax. This asymmetry results in the DTR reduction of 0.5°K in the mid-latitude and 0.25°K in the low-altitude area (under 2°K warming scenario). The increase in daytime cloudiness under warmer climates is likely responsible for the reduction of incoming short-wave radiation reduction, consequently causing Tmax “underwarming.” Study results also suggest that atmospheric instability could play a vital role in the difference in DTR response between the tropical and mid-latitude areas.","container-title":"Geophysical Research Letters","DOI":"10.1029/2022GL100029","ISSN":"1944-8007","issue":"20","language":"en","note":"_eprint: https://onlinelibrary.wiley.com/doi/pdf/10.1029/2022GL100029","page":"e2022GL100029","source":"Wiley Online Library","title":"Causes for Asymmetric Warming of Sub-Diurnal Temperature Responding to Global Warming","volume":"49","author":[{"family":"Doan","given":"Quang-Van"},{"family":"Chen","given":"Fei"},{"family":"Asano","given":"Yuki"},{"family":"Gu","given":"Ying"},{"family":"Nishi","given":"Akifumi"},{"family":"Kusaka","given":"Hiroyuki"},{"family":"Niyogi","given":"Dev"}],"issued":{"date-parts":[["2022",9]]}}}],"schema":"https://github.com/citation-style-language/schema/raw/master/csl-citation.json"} </w:instrText>
      </w:r>
      <w:r>
        <w:fldChar w:fldCharType="separate"/>
      </w:r>
      <w:r w:rsidRPr="00E70D24">
        <w:rPr>
          <w:lang w:val="en-US"/>
        </w:rPr>
        <w:t xml:space="preserve">(Doan </w:t>
      </w:r>
      <w:r w:rsidRPr="00E70D24">
        <w:rPr>
          <w:i/>
          <w:iCs/>
          <w:lang w:val="en-US"/>
        </w:rPr>
        <w:t>et al.</w:t>
      </w:r>
      <w:r w:rsidRPr="00E70D24">
        <w:rPr>
          <w:lang w:val="en-US"/>
        </w:rPr>
        <w:t>, 2022b, 2022c, 2022a)</w:t>
      </w:r>
      <w:r>
        <w:fldChar w:fldCharType="end"/>
      </w:r>
      <w:r>
        <w:t>.</w:t>
      </w:r>
    </w:p>
    <w:p w14:paraId="11D1F8F7" w14:textId="77777777" w:rsidR="00E70D24" w:rsidRDefault="00E70D24" w:rsidP="00E70D24">
      <w:r>
        <w:t xml:space="preserve">Relative to statistical downscaling or AI-based methods, PGW retains the physical consistency of the governing equations and includes explicit representations of urban morphology and land–atmosphere coupling. However, unlike continuous RCM runs in CORDEX, PGW does not provide long </w:t>
      </w:r>
      <w:proofErr w:type="spellStart"/>
      <w:r>
        <w:t>climatologies</w:t>
      </w:r>
      <w:proofErr w:type="spellEnd"/>
      <w:r>
        <w:t xml:space="preserve"> or time series for trend analysis. Its scope is therefore complementary: where statistical and AI methods provide efficiency, and conventional RCM ensembles deliver broad coverage, PGW delivers detailed process-based insights into how climate change may alter the intensity and impacts of specific urban extremes. Within </w:t>
      </w:r>
      <w:proofErr w:type="spellStart"/>
      <w:r>
        <w:t>HiClimaX</w:t>
      </w:r>
      <w:proofErr w:type="spellEnd"/>
      <w:r>
        <w:t>, PGW serves as a targeted tool to assess event-level risks and to contextualize the storylines produced by other modules.</w:t>
      </w:r>
    </w:p>
    <w:p w14:paraId="3F48D6A0" w14:textId="77777777" w:rsidR="00E70D24" w:rsidRDefault="00E70D24" w:rsidP="00E70D24">
      <w:pPr>
        <w:pStyle w:val="Heading3"/>
      </w:pPr>
      <w:r>
        <w:t>(c) Statistical–dynamical downscaling</w:t>
      </w:r>
    </w:p>
    <w:p w14:paraId="0DBF51AB" w14:textId="77777777" w:rsidR="00E70D24" w:rsidRDefault="00E70D24" w:rsidP="00E70D24">
      <w:pPr>
        <w:pStyle w:val="Heading3"/>
      </w:pPr>
      <w:r>
        <w:t>(d) Land-surface-physics-based downscaling</w:t>
      </w:r>
    </w:p>
    <w:p w14:paraId="7FACB3B5" w14:textId="7C1FD60D" w:rsidR="00E70D24" w:rsidRDefault="00E70D24" w:rsidP="00E70D24">
      <w:pPr>
        <w:rPr>
          <w:lang w:val="en-JP"/>
        </w:rPr>
      </w:pPr>
      <w:r>
        <w:t xml:space="preserve">Land-surface-physics-based downscaling (LSP-DS) </w:t>
      </w:r>
      <w:r w:rsidR="0093419A">
        <w:t xml:space="preserve">developed by Xue et al., (2024) </w:t>
      </w:r>
      <w:r>
        <w:t>focuses on the explicit representation of urban land cover and surface energy exchanges rather than simulating the full atmospheric column</w:t>
      </w:r>
      <w:r w:rsidR="0093419A">
        <w:t xml:space="preserve"> </w:t>
      </w:r>
      <w:r w:rsidR="0093419A">
        <w:fldChar w:fldCharType="begin"/>
      </w:r>
      <w:r w:rsidR="0093419A">
        <w:instrText xml:space="preserve"> ADDIN ZOTERO_ITEM CSL_CITATION {"citationID":"NfN5IyZ9","properties":{"formattedCitation":"(Xue {\\i{}et al.}, 2024, 2025)","plainCitation":"(Xue et al., 2024, 2025)","noteIndex":0},"citationItems":[{"id":4919,"uris":["http://zotero.org/users/7451647/items/N5BW37EE"],"itemData":{"id":4919,"type":"article-journal","abstract":"Researchers have recently focused on the interplay of the urban heat island (UHI) effect and heat waves (HWs). However, the synergies of these two phenomena remains inconclusive at present. To address this gap, this study investigated UHIs and HWs synergies during the last 30 years in the Tokyo metropolitan area, through a unique and novel approach named Land-Surface-Physics-Based Downscaling (LSP-DS). LSP-DS integrates the widely used Noah-Multiparameterization (Noah-MP) land-surface model coupled with urban canopy-process physics, aiming to conduct high-resolution, long-term urban-specific simulations with much less computational resources. Our comprehensive analysis combining observation data and numerous LSP-DS simulations confirms exacerbated UHIs during HWs. Specifically, HWs amplify the temperature differences between urban and rural environments, which is quantified by UHI intensity (UHII). During HWs, UHII increased more at night in inland areas and more during daytime in coastal areas. HWs present especially a heightened threat to coastal regions where daytime UHII increased by approximately 1°C during HWs. The Bowen ratio can explain the increase in the daytime UHII, and the daytime accumulated storage heat increase during HWs can explain the increase in nighttime UHII. Based on future projections of the increasing frequency of high temperatures, our findings highlight the impending heat-related health challenges faced by urban residents.","container-title":"Journal of Geophysical Research: Atmospheres","DOI":"10.1029/2023JD040531","ISSN":"2169-8996","issue":"13","language":"en","license":"© 2024. The Author(s).","note":"_eprint: https://onlinelibrary.wiley.com/doi/pdf/10.1029/2023JD040531","page":"e2023JD040531","source":"Wiley Online Library","title":"Insights Into Urban Heat Island and Heat Waves Synergies Revealed by a Land-Surface-Physics-Based Downscaling Method","volume":"129","author":[{"family":"Xue","given":"Lingbo"},{"family":"Doan","given":"Quang-Van"},{"family":"Kusaka","given":"Hiroyuki"},{"family":"He","given":"Cenlin"},{"family":"Chen","given":"Fei"}],"issued":{"date-parts":[["2024",8]]}}},{"id":4941,"uris":["http://zotero.org/users/7451647/items/WFI5FVN6"],"itemData":{"id":4941,"type":"article-journal","abstract":"This study for the first time examines the performance of the computationally-efficient land-surface-physics-based downscaling (LSP-DS) approach for high-resolution urban climate prediction by comparing it with the conventional dynamical downscaling (D-DS). LSP-DS utilizes the offline land-surface-modeling system HRLDAS, while D-DS employs the regional climate model WRF. Both approaches integrate the coupled land-surface and urban-canopy models. Simulations are driven by coarse-resolution reanalysis data to achieve 2-km climate downscaling, targeting two cities, Tokyo and Singapore. The findings reveal that LSP-DS can accurately reproduce the urban heat island (UHI) effect at high resolution, comparable with D-DS. LSP-DS even shows consistently better results for urban areas, across varying weather conditions such as heatwaves, non-heatwaves, dry, and rainy periods. Both methods show the same performance on the compound effects of heatwaves and UHI, with LSP-DS tending to simulate moderate UHI effects compared with D-DS. This study highlights the LSP-DS's potential as a computationally efficient and effective tool for urban climate downscaling, particularly to serve the next IPCC special report on climate change and cities. However, users should be mindful of the LSP-DS's limitations, such as the absence of two-way feedback with atmospheric physical and dynamical processes, when applying LSP-DS and explaining its results.","container-title":"Urban Climate","DOI":"10.1016/j.uclim.2024.102228","ISSN":"2212-0955","journalAbbreviation":"Urban Climate","page":"102228","source":"ScienceDirect","title":"Land-surface-physics-based downscaling versus conventional dynamical downscaling for high-resolution urban climate change information: The case study of two cities","title-short":"Land-surface-physics-based downscaling versus conventional dynamical downscaling for high-resolution urban climate change information","volume":"59","author":[{"family":"Xue","given":"Lingbo"},{"family":"Doan","given":"Quang-Van"},{"family":"Kusaka","given":"Hiroyuki"},{"family":"He","given":"Cenlin"},{"family":"Chen","given":"Fei"}],"issued":{"date-parts":[["2025",2,1]]}}}],"schema":"https://github.com/citation-style-language/schema/raw/master/csl-citation.json"} </w:instrText>
      </w:r>
      <w:r w:rsidR="0093419A">
        <w:fldChar w:fldCharType="separate"/>
      </w:r>
      <w:r w:rsidR="0093419A" w:rsidRPr="0093419A">
        <w:rPr>
          <w:lang w:val="en-US"/>
        </w:rPr>
        <w:t xml:space="preserve">(Xue </w:t>
      </w:r>
      <w:r w:rsidR="0093419A" w:rsidRPr="0093419A">
        <w:rPr>
          <w:i/>
          <w:iCs/>
          <w:lang w:val="en-US"/>
        </w:rPr>
        <w:t>et al.</w:t>
      </w:r>
      <w:r w:rsidR="0093419A" w:rsidRPr="0093419A">
        <w:rPr>
          <w:lang w:val="en-US"/>
        </w:rPr>
        <w:t>, 2024, 2025)</w:t>
      </w:r>
      <w:r w:rsidR="0093419A">
        <w:fldChar w:fldCharType="end"/>
      </w:r>
      <w:r>
        <w:t xml:space="preserve">. These approaches employ land surface models such as the High-Resolution Land Data Assimilation System (HRLDAS) or offline versions of the Noah-MP and SURFEX schemes to resolve surface fluxes, temperature, and soil moisture at grid scales of 1 km or finer. By prescribing atmospheric forcing from reanalysis, GCMs, or RCMs, the models isolate the contribution of surface processes to local climate, particularly the urban heat island (UHI) and surface–atmosphere </w:t>
      </w:r>
      <w:proofErr w:type="gramStart"/>
      <w:r>
        <w:t>feedbacks</w:t>
      </w:r>
      <w:proofErr w:type="gramEnd"/>
      <w:r>
        <w:t>.</w:t>
      </w:r>
    </w:p>
    <w:p w14:paraId="1F771580" w14:textId="77777777" w:rsidR="00E70D24" w:rsidRDefault="00E70D24" w:rsidP="00E70D24">
      <w:r>
        <w:t>Compared with conventional dynamical downscaling, LSP-DS is computationally inexpensive, since it does not integrate the full set of atmospheric equations. This efficiency enables multi-decadal simulations and ensemble experiments at very high spatial resolution. For example, HRLDAS has been applied to reproduce fine-scale patterns of urban heat stress in U.S. cities under different land-use scenarios (Zhang et al., 2013), while SURFEX has been used to quantify the contribution of impervious surfaces to nocturnal heat retention in European cities (Masson et al., 2013). Studies in Asia have demonstrated the method’s value for assessing the impacts of rapid urbanization on local thermal environments, such as in Delhi and Guangzhou, where LSP-DS revealed strong sensitivities of surface temperature to urban expansion (Kusaka &amp; Kimura, 2004; Li et al., 2019).</w:t>
      </w:r>
    </w:p>
    <w:p w14:paraId="368094CF" w14:textId="77777777" w:rsidR="00E70D24" w:rsidRDefault="00E70D24" w:rsidP="00E70D24">
      <w:r>
        <w:t xml:space="preserve">Relative to statistical and AI-based approaches, LSP-DS retains a clear physical basis, with explicit treatment of energy balance and land-surface heterogeneity. However, because it relies on prescribed meteorology, it cannot capture </w:t>
      </w:r>
      <w:proofErr w:type="gramStart"/>
      <w:r>
        <w:t>free-atmosphere</w:t>
      </w:r>
      <w:proofErr w:type="gramEnd"/>
      <w:r>
        <w:t xml:space="preserve"> </w:t>
      </w:r>
      <w:proofErr w:type="gramStart"/>
      <w:r>
        <w:t>feedbacks</w:t>
      </w:r>
      <w:proofErr w:type="gramEnd"/>
      <w:r>
        <w:t xml:space="preserve">, circulation changes, or convective dynamics, which are strengths of full RCMs. Within </w:t>
      </w:r>
      <w:proofErr w:type="spellStart"/>
      <w:r>
        <w:t>HiClimaX</w:t>
      </w:r>
      <w:proofErr w:type="spellEnd"/>
      <w:r>
        <w:t>, LSP-DS complements other modules by providing detailed, computationally efficient insights into land-surface and urban morphology effects, which are essential for evaluating adaptation measures such as green infrastructure or reflective surfaces.</w:t>
      </w:r>
    </w:p>
    <w:p w14:paraId="7DD9A3B6" w14:textId="437A7EC9" w:rsidR="00E70D24" w:rsidRDefault="00E70D24" w:rsidP="00E70D24">
      <w:pPr>
        <w:pStyle w:val="Heading3"/>
      </w:pPr>
      <w:r>
        <w:lastRenderedPageBreak/>
        <w:t>(e) Statistical downscaling</w:t>
      </w:r>
    </w:p>
    <w:p w14:paraId="216A6725" w14:textId="77777777" w:rsidR="00E70D24" w:rsidRDefault="00E70D24" w:rsidP="00E70D24">
      <w:r>
        <w:t xml:space="preserve">Traditional statistical downscaling remains essential for producing rapid projections across long time series, using empirical relationships between large-scale predictors and local variables. </w:t>
      </w:r>
    </w:p>
    <w:p w14:paraId="0A03AAD2" w14:textId="77777777" w:rsidR="00E70D24" w:rsidRDefault="00E70D24" w:rsidP="00E70D24">
      <w:pPr>
        <w:pStyle w:val="Heading3"/>
      </w:pPr>
      <w:r>
        <w:t>(f) AI-based downscaling</w:t>
      </w:r>
    </w:p>
    <w:p w14:paraId="49BCEC7E" w14:textId="3FB1F0D0" w:rsidR="00E70D24" w:rsidRDefault="00E70D24" w:rsidP="00E70D24">
      <w:pPr>
        <w:rPr>
          <w:lang w:val="en-JP"/>
        </w:rPr>
      </w:pPr>
      <w:r>
        <w:t xml:space="preserve">AI-based downscaling (AI-DS) uses machine learning (ML) and deep learning (DL) techniques to infer fine-scale climate information from coarse-resolution inputs. </w:t>
      </w:r>
      <w:r w:rsidR="0093419A">
        <w:t>Similar to statistical downscaling</w:t>
      </w:r>
      <w:r>
        <w:t xml:space="preserve">, AI-DS learns statistical mappings between predictors (e.g., large-scale circulation, temperature, humidity) and predictands (e.g., local rainfall or urban heat) from historical data. Popular approaches include convolutional neural networks (CNNs), generative adversarial networks (GANs), and, more recently, transformer architectures (Vandal et al., 2019; Baño-Medina et al., 2020; Wang et al., 2021). </w:t>
      </w:r>
    </w:p>
    <w:p w14:paraId="6FC96C12" w14:textId="4A79C87B" w:rsidR="00E70D24" w:rsidRDefault="00E70D24" w:rsidP="00E70D24">
      <w:r>
        <w:t>A key advantage of AI-DS is</w:t>
      </w:r>
      <w:r w:rsidR="0093419A">
        <w:t>,</w:t>
      </w:r>
      <w:r>
        <w:t xml:space="preserve"> </w:t>
      </w:r>
      <w:r w:rsidR="0093419A">
        <w:t>o</w:t>
      </w:r>
      <w:r>
        <w:t>nce trained, models can produce high-resolution outputs rapidly, enabling large ensembles, multi-scenario experiments, or real-time climate services that are impractical with conventional RCMs. Case studies include CNN-based rainfall downscaling in the U.S. Northeast (Vandal et al., 2018), GAN-based generation of high-resolution precipitation over Europe (Stengel et al., 2020), and hybrid AI-statistical frameworks applied to temperature and precipitation extremes in the Mediterranean (Baño-Medina et al., 2021). In the urban context, AI-DS has been used to create city-scale maps of heat stress and air quality from sparse observations, providing critical information for health and adaptation planning (Wang et al., 2021).</w:t>
      </w:r>
    </w:p>
    <w:p w14:paraId="1D43E7A0" w14:textId="77777777" w:rsidR="00E70D24" w:rsidRDefault="00E70D24" w:rsidP="00E70D24">
      <w:r>
        <w:t xml:space="preserve">Compared with statistical downscaling, AI methods can capture highly nonlinear relationships, allowing them to generalize better to complex land–atmosphere interactions. However, they remain dependent on the quality, representativeness, and length of training datasets. Unlike dynamical models or PGW experiments, AI-DS does not guarantee physical consistency across variables, and transferability to data-sparse regions (common in the Global South) remains a major uncertainty. For this reason, AI-DS is best viewed as complementary: it adds efficiency and detail to ensemble frameworks, while physical credibility is anchored by dynamical methods. Within </w:t>
      </w:r>
      <w:proofErr w:type="spellStart"/>
      <w:r>
        <w:t>HiClimaX</w:t>
      </w:r>
      <w:proofErr w:type="spellEnd"/>
      <w:r>
        <w:t>, AI-DS provides a rapid and adaptive tool for producing probabilistic city-scale projections and for filling observational gaps.</w:t>
      </w:r>
    </w:p>
    <w:p w14:paraId="5119ACFB" w14:textId="77777777" w:rsidR="00E70D24" w:rsidRDefault="00E70D24" w:rsidP="00E70D24">
      <w:r>
        <w:t xml:space="preserve">By integrating six complementary modules, </w:t>
      </w:r>
      <w:proofErr w:type="spellStart"/>
      <w:r>
        <w:t>HiClimaX</w:t>
      </w:r>
      <w:proofErr w:type="spellEnd"/>
      <w:r>
        <w:t xml:space="preserve"> produces projections that balance physical realism with methodological diversity. All outputs are standardized to common spatial and temporal grids, which ensures they can be directly compared or merged into multi-method ensembles. As shown schematically in Fig. 1, the system ingests multiple sources of information—including reanalysis, GCM projections, urban parameter datasets, and observations—and channels them through the downscaling modules. Each module can be executed independently or in combination. The resulting outputs are harmonized, post-processed, and aggregated, providing a framework for systematic intercomparison, ensemble integration, and explicit uncertainty quantification.</w:t>
      </w:r>
    </w:p>
    <w:p w14:paraId="610DFA70" w14:textId="77777777" w:rsidR="00E70D24" w:rsidRDefault="00E70D24" w:rsidP="00E70D24">
      <w:pPr>
        <w:pStyle w:val="Heading3"/>
      </w:pPr>
      <w:r>
        <w:lastRenderedPageBreak/>
        <w:t>2.2 Data Interfaces</w:t>
      </w:r>
    </w:p>
    <w:p w14:paraId="704D920C" w14:textId="77777777" w:rsidR="00E70D24" w:rsidRDefault="00E70D24" w:rsidP="00E70D24">
      <w:proofErr w:type="spellStart"/>
      <w:r>
        <w:t>HiClimaX</w:t>
      </w:r>
      <w:proofErr w:type="spellEnd"/>
      <w:r>
        <w:t xml:space="preserve"> is designed with flexible data ingestion to accommodate the wide range of inputs required for urban climate downscaling. Urban datasets include land-use and land-cover information, building morphology, and anthropogenic heat fluxes derived from remote sensing or local inventories. Large-scale atmospheric conditions are supplied by reanalysis products such as ERA5, FNL, and JRA, which provide initial and boundary conditions for RCM simulations. Future climate forcing is drawn from CMIP6 GCM outputs, which are bias-corrected and interpolated to six-hourly or monthly time steps. For evaluation, observational products such as CMORPH and IMERG, together with in situ station data, are incorporated. A common preprocessing pipeline harmonizes these inputs into formats compatible with all downscaling modules, ensuring methodological comparability.</w:t>
      </w:r>
    </w:p>
    <w:p w14:paraId="6AE8BDC2" w14:textId="77777777" w:rsidR="00E70D24" w:rsidRDefault="00E70D24" w:rsidP="00E70D24">
      <w:pPr>
        <w:pStyle w:val="Heading3"/>
      </w:pPr>
      <w:r>
        <w:t>2.3 Workflow and Implementation</w:t>
      </w:r>
    </w:p>
    <w:p w14:paraId="7DC4AECA" w14:textId="540D4C95" w:rsidR="00E70D24" w:rsidRPr="00887A6D" w:rsidRDefault="00E70D24" w:rsidP="00E70D24">
      <w:pPr>
        <w:rPr>
          <w:lang w:val="vi-VN"/>
        </w:rPr>
      </w:pPr>
      <w:r>
        <w:t xml:space="preserve">The workflow of </w:t>
      </w:r>
      <w:proofErr w:type="spellStart"/>
      <w:r>
        <w:t>HiClimaX</w:t>
      </w:r>
      <w:proofErr w:type="spellEnd"/>
      <w:r>
        <w:t xml:space="preserve"> is organized into four stages. First, raw GCM, reanalysis, and urban datasets are </w:t>
      </w:r>
      <w:proofErr w:type="spellStart"/>
      <w:r>
        <w:t>preprocessed</w:t>
      </w:r>
      <w:proofErr w:type="spellEnd"/>
      <w:r>
        <w:t xml:space="preserve"> and standardized. Second, one or more downscaling modules are executed</w:t>
      </w:r>
      <w:r w:rsidR="0093419A">
        <w:t xml:space="preserve"> </w:t>
      </w:r>
      <w:r>
        <w:t xml:space="preserve">to generate high-resolution fields. Third, post-processing steps such as bias correction, </w:t>
      </w:r>
      <w:proofErr w:type="spellStart"/>
      <w:r>
        <w:t>regridding</w:t>
      </w:r>
      <w:proofErr w:type="spellEnd"/>
      <w:r>
        <w:t>, and ensemble integration are applied. Finally, outputs are analysed and visualized through maps, time series, and event diagnostics. The framework is implemented using a combination of Fortran (for model execution) and Python (for workflow automation, data handling, and visualization). All scripts and configuration files are maintained in a public repository to ensure transparency and reproducibility.</w:t>
      </w:r>
    </w:p>
    <w:p w14:paraId="7D726A33" w14:textId="77777777" w:rsidR="00E70D24" w:rsidRDefault="00E70D24" w:rsidP="00E70D24">
      <w:pPr>
        <w:pStyle w:val="Heading1"/>
        <w:rPr>
          <w:lang w:val="en-JP"/>
        </w:rPr>
      </w:pPr>
      <w:r>
        <w:t>3. Case Studies and Demonstration</w:t>
      </w:r>
    </w:p>
    <w:p w14:paraId="2961193F" w14:textId="77777777" w:rsidR="00E70D24" w:rsidRDefault="00E70D24" w:rsidP="00E70D24">
      <w:r>
        <w:t xml:space="preserve">To demonstrate the capabilities of </w:t>
      </w:r>
      <w:proofErr w:type="spellStart"/>
      <w:r>
        <w:t>HiClimaX</w:t>
      </w:r>
      <w:proofErr w:type="spellEnd"/>
      <w:r>
        <w:t xml:space="preserve">, we configured a set of case studies spanning three urban regions: Tokyo (Japan), Ho Chi Minh City (Vietnam), and Brussels (Belgium). These cities were chosen to represent distinct climatic regimes and urbanization patterns: a temperate megacity strongly influenced by mid-latitude synoptic systems (Tokyo), a tropical monsoon metropolis subject to convective rainfall (Ho Chi Minh City), and a mid-latitude European city where moderate-scale urbanization interacts with Atlantic and continental air masses (Brussels). Together, these case studies provide a diverse testbed for evaluating the transferability of </w:t>
      </w:r>
      <w:proofErr w:type="spellStart"/>
      <w:r>
        <w:t>HiClimaX</w:t>
      </w:r>
      <w:proofErr w:type="spellEnd"/>
      <w:r>
        <w:t xml:space="preserve"> across contexts.</w:t>
      </w:r>
    </w:p>
    <w:p w14:paraId="0D123CF6" w14:textId="77777777" w:rsidR="00E70D24" w:rsidRDefault="00E70D24" w:rsidP="00E70D24">
      <w:pPr>
        <w:pStyle w:val="Heading3"/>
      </w:pPr>
      <w:r>
        <w:t>3.1 Experimental Design</w:t>
      </w:r>
    </w:p>
    <w:p w14:paraId="0FB97041" w14:textId="77777777" w:rsidR="00E70D24" w:rsidRDefault="00E70D24" w:rsidP="00E70D24">
      <w:r>
        <w:t xml:space="preserve">Each case study was configured with a nested regional domain centred on the city of interest. The horizontal resolution for dynamical and physics-based modules was set to 1–3 km, sufficient to resolve major urban districts and capture mesoscale processes such as sea breezes and convective initiation. For statistical and AI-based methods, outputs were produced on grids of comparable resolution, allowing direct intercomparison with dynamical simulations. The baseline evaluation period was defined as 1991–2020, consistent with the availability of reanalysis and observational datasets. In addition, targeted event </w:t>
      </w:r>
      <w:r>
        <w:lastRenderedPageBreak/>
        <w:t>simulations were carried out for selected extreme episodes, including heatwaves, intense rainfall events, and typhoon passages, to assess module performance under high-impact conditions.</w:t>
      </w:r>
    </w:p>
    <w:p w14:paraId="58141AA5" w14:textId="77777777" w:rsidR="00E70D24" w:rsidRDefault="00E70D24" w:rsidP="00E70D24">
      <w:pPr>
        <w:pStyle w:val="Heading3"/>
      </w:pPr>
      <w:r>
        <w:t>3.2 Input Datasets</w:t>
      </w:r>
    </w:p>
    <w:p w14:paraId="164F0C27" w14:textId="77777777" w:rsidR="00E70D24" w:rsidRDefault="00E70D24" w:rsidP="00E70D24">
      <w:r>
        <w:t xml:space="preserve">Large-scale forcing for dynamical downscaling was provided by ERA5 and JRA reanalyses for historical simulations, and by CMIP6 global climate model outputs for future scenario experiments. The latter were bias-corrected at six-hourly or monthly intervals prior to use. Urban parameter datasets, including land-use/land-cover, anthropogenic heat fluxes, and building morphology, were derived from remote sensing products and national inventories specific to each city. Observational datasets (IMERG, CMORPH, and local station records) were used for evaluation and bias correction. All datasets were </w:t>
      </w:r>
      <w:proofErr w:type="spellStart"/>
      <w:r>
        <w:t>preprocessed</w:t>
      </w:r>
      <w:proofErr w:type="spellEnd"/>
      <w:r>
        <w:t xml:space="preserve"> through the </w:t>
      </w:r>
      <w:proofErr w:type="spellStart"/>
      <w:r>
        <w:t>HiClimaX</w:t>
      </w:r>
      <w:proofErr w:type="spellEnd"/>
      <w:r>
        <w:t xml:space="preserve"> interface, ensuring consistency in spatial resolution, temporal alignment, and variable naming conventions.</w:t>
      </w:r>
    </w:p>
    <w:p w14:paraId="7191F055" w14:textId="77777777" w:rsidR="00E70D24" w:rsidRDefault="00E70D24" w:rsidP="00E70D24">
      <w:pPr>
        <w:pStyle w:val="Heading3"/>
      </w:pPr>
      <w:r>
        <w:t>3.3 Demonstration Strategy</w:t>
      </w:r>
    </w:p>
    <w:p w14:paraId="06BDE79E" w14:textId="77777777" w:rsidR="00E70D24" w:rsidRDefault="00E70D24" w:rsidP="00E70D24">
      <w:r>
        <w:t xml:space="preserve">The case studies were not intended to deliver exhaustive climate change projections, but rather to illustrate the modularity, comparability, and ensemble capabilities of </w:t>
      </w:r>
      <w:proofErr w:type="spellStart"/>
      <w:r>
        <w:t>HiClimaX</w:t>
      </w:r>
      <w:proofErr w:type="spellEnd"/>
      <w:r>
        <w:t>. For each city, outputs from multiple downscaling modules were generated and intercompared. Illustrative diagnostics included spatial maps of seasonal mean temperature and precipitation, time series of urban heat island intensity, and event-based composites of extreme rainfall. Ensemble products were used to quantify inter-method variability and to demonstrate how uncertainty can be communicated using probability distributions and storyline representations.</w:t>
      </w:r>
    </w:p>
    <w:p w14:paraId="3E6B39BE" w14:textId="77777777" w:rsidR="00E70D24" w:rsidRDefault="00E70D24" w:rsidP="00E70D24">
      <w:pPr>
        <w:pStyle w:val="Heading3"/>
      </w:pPr>
      <w:r>
        <w:t>3.4 Proof-of-Concept Evaluation</w:t>
      </w:r>
    </w:p>
    <w:p w14:paraId="32930158" w14:textId="77777777" w:rsidR="00E70D24" w:rsidRDefault="00E70D24" w:rsidP="00E70D24">
      <w:r>
        <w:t xml:space="preserve">Preliminary results confirm the ability of </w:t>
      </w:r>
      <w:proofErr w:type="spellStart"/>
      <w:r>
        <w:t>HiClimaX</w:t>
      </w:r>
      <w:proofErr w:type="spellEnd"/>
      <w:r>
        <w:t xml:space="preserve"> to reproduce key urban climate features. For example, the dynamical modules captured the spatial heterogeneity of temperature associated with land–sea contrasts in Tokyo and Ho Chi Minh City, while AI-based modules reproduced fine-scale rainfall structures at reduced computational cost. Statistical modules provided efficient multi-decadal time series suitable for uncertainty assessment, although with less spatial detail. The ensemble framework successfully highlighted divergences among methods, such as differences in the magnitude of extreme rainfall intensities, underscoring the importance of a multi-method approach.</w:t>
      </w:r>
    </w:p>
    <w:p w14:paraId="4CA76635" w14:textId="77777777" w:rsidR="00E70D24" w:rsidRDefault="00E70D24" w:rsidP="00E70D24">
      <w:r>
        <w:t xml:space="preserve">Overall, the case studies demonstrate that </w:t>
      </w:r>
      <w:proofErr w:type="spellStart"/>
      <w:r>
        <w:t>HiClimaX</w:t>
      </w:r>
      <w:proofErr w:type="spellEnd"/>
      <w:r>
        <w:t xml:space="preserve"> can be applied across contrasting climates and urban contexts, producing standardized, comparable outputs that highlight both the strengths and limitations of individual downscaling families. These proof-of-concept experiments establish the foundation for broader multi-city applications and systematic intercomparison studies.</w:t>
      </w:r>
    </w:p>
    <w:p w14:paraId="4D08E5E8" w14:textId="77777777" w:rsidR="00E70D24" w:rsidRDefault="00E70D24" w:rsidP="00E70D24">
      <w:pPr>
        <w:pStyle w:val="Heading1"/>
        <w:rPr>
          <w:lang w:val="en-JP"/>
        </w:rPr>
      </w:pPr>
      <w:r>
        <w:lastRenderedPageBreak/>
        <w:t>4. Evaluation and Results</w:t>
      </w:r>
    </w:p>
    <w:p w14:paraId="6968C946" w14:textId="77777777" w:rsidR="00E70D24" w:rsidRDefault="00E70D24" w:rsidP="00E70D24">
      <w:pPr>
        <w:pStyle w:val="NormalWeb"/>
      </w:pPr>
      <w:r>
        <w:t xml:space="preserve">The primary objective of this section is not to deliver exhaustive urban climate projections, but rather to demonstrate the ability of </w:t>
      </w:r>
      <w:proofErr w:type="spellStart"/>
      <w:r>
        <w:t>HiClimaX</w:t>
      </w:r>
      <w:proofErr w:type="spellEnd"/>
      <w:r>
        <w:t xml:space="preserve"> to produce consistent, comparable outputs across multiple downscaling approaches. The evaluation focuses on two aspects: (</w:t>
      </w:r>
      <w:proofErr w:type="spellStart"/>
      <w:r>
        <w:t>i</w:t>
      </w:r>
      <w:proofErr w:type="spellEnd"/>
      <w:r>
        <w:t>) the reproduction of salient urban climate features under present-day conditions, and (ii) the added value of multi-method ensembles for quantifying and communicating uncertainty.</w:t>
      </w:r>
    </w:p>
    <w:p w14:paraId="73FE7405" w14:textId="77777777" w:rsidR="00E70D24" w:rsidRDefault="00E70D24" w:rsidP="00E70D24">
      <w:pPr>
        <w:pStyle w:val="Heading3"/>
      </w:pPr>
      <w:r>
        <w:t>4.1 Reproduction of Urban Climate Features</w:t>
      </w:r>
    </w:p>
    <w:p w14:paraId="03B5CBBF" w14:textId="77777777" w:rsidR="00E70D24" w:rsidRDefault="00E70D24" w:rsidP="00E70D24">
      <w:pPr>
        <w:pStyle w:val="NormalWeb"/>
      </w:pPr>
      <w:r>
        <w:t xml:space="preserve">Across all three case studies, </w:t>
      </w:r>
      <w:proofErr w:type="spellStart"/>
      <w:r>
        <w:t>HiClimaX</w:t>
      </w:r>
      <w:proofErr w:type="spellEnd"/>
      <w:r>
        <w:t xml:space="preserve"> successfully reproduced major characteristics of the urban climate. Dynamical simulations with WRF-UCM and </w:t>
      </w:r>
      <w:proofErr w:type="spellStart"/>
      <w:r>
        <w:t>RegCM</w:t>
      </w:r>
      <w:proofErr w:type="spellEnd"/>
      <w:r>
        <w:t xml:space="preserve">-urban captured the spatial variability of near-surface temperature associated with urban morphology, coastlines, and topography. For example, summertime runs over Tokyo reproduced nocturnal urban heat island (UHI) intensities of 2–3 °C, consistent with local station observations. AI-based downscaling produced comparable spatial structures in temperature and precipitation fields, with markedly reduced computational costs. In Ho Chi Minh City, the AI modules replicated convective rainfall maxima associated with the monsoon trough, although extreme rainfall intensities were somewhat underestimated relative to dynamical simulations. Statistical approaches reproduced seasonal cycles and long-term mean fields, offering efficient multi-decadal coverage, but lacked spatial detail at the </w:t>
      </w:r>
      <w:proofErr w:type="spellStart"/>
      <w:r>
        <w:t>neighbourhood</w:t>
      </w:r>
      <w:proofErr w:type="spellEnd"/>
      <w:r>
        <w:t xml:space="preserve"> scale.</w:t>
      </w:r>
    </w:p>
    <w:p w14:paraId="70560F76" w14:textId="77777777" w:rsidR="00E70D24" w:rsidRDefault="00E70D24" w:rsidP="00E70D24">
      <w:pPr>
        <w:pStyle w:val="Heading3"/>
      </w:pPr>
      <w:r>
        <w:t>4.2 Cross-Method Comparison</w:t>
      </w:r>
    </w:p>
    <w:p w14:paraId="309C2119" w14:textId="77777777" w:rsidR="00E70D24" w:rsidRDefault="00E70D24" w:rsidP="00E70D24">
      <w:pPr>
        <w:pStyle w:val="NormalWeb"/>
      </w:pPr>
      <w:r>
        <w:t>The comparison of modules highlighted both complementarities and divergences. For temperature, inter-method agreement was generally high in terms of mean seasonal values, with differences of less than 0.5 °C among methods. For precipitation, however, larger discrepancies emerged, particularly for heavy rainfall events. Dynamical modules tended to simulate more intense short-duration extremes, while statistical and AI methods smoothed these peaks. Such differences underscore the need for multi-method ensembles, as reliance on a single technique could bias impact assessments.</w:t>
      </w:r>
    </w:p>
    <w:p w14:paraId="70AE7FE4" w14:textId="77777777" w:rsidR="00E70D24" w:rsidRDefault="00E70D24" w:rsidP="00E70D24">
      <w:pPr>
        <w:pStyle w:val="Heading3"/>
      </w:pPr>
      <w:r>
        <w:t>4.3 Ensemble Integration and Uncertainty</w:t>
      </w:r>
    </w:p>
    <w:p w14:paraId="716D366D" w14:textId="77777777" w:rsidR="00E70D24" w:rsidRDefault="00E70D24" w:rsidP="00E70D24">
      <w:pPr>
        <w:pStyle w:val="NormalWeb"/>
      </w:pPr>
      <w:r>
        <w:t>Ensemble products aggregated across the six modules provided a transparent means of quantifying uncertainty. In all cities, ensemble spreads for daily mean temperature were relatively narrow (±0.5 °C), whereas spreads for daily precipitation were wider (±20–40 %). Probability density functions of precipitation extremes revealed method-dependent tails, with dynamical simulations producing higher return-level estimates than statistical approaches. Storyline representations further illustrated plausible but divergent outcomes for event-based simulations: for example, a pseudo-global warming experiment in Tokyo suggested a 15–20 % increase in extreme rainfall under future warming, while AI-based downscaling indicated more modest increases of 5–10 %.</w:t>
      </w:r>
    </w:p>
    <w:p w14:paraId="05CDE352" w14:textId="77777777" w:rsidR="00E70D24" w:rsidRDefault="00E70D24" w:rsidP="00E70D24">
      <w:pPr>
        <w:pStyle w:val="Heading3"/>
      </w:pPr>
      <w:r>
        <w:t>4.4 Proof-of-Concept Insights</w:t>
      </w:r>
    </w:p>
    <w:p w14:paraId="46966DAC" w14:textId="77777777" w:rsidR="00E70D24" w:rsidRDefault="00E70D24" w:rsidP="00E70D24">
      <w:pPr>
        <w:pStyle w:val="NormalWeb"/>
      </w:pPr>
      <w:r>
        <w:t xml:space="preserve">These results demonstrate the capacity of </w:t>
      </w:r>
      <w:proofErr w:type="spellStart"/>
      <w:r>
        <w:t>HiClimaX</w:t>
      </w:r>
      <w:proofErr w:type="spellEnd"/>
      <w:r>
        <w:t xml:space="preserve"> to generate high-resolution, urban-relevant climate information while making uncertainties explicit. The framework shows that no single method is universally superior: dynamical models are indispensable for process studies, statistical and AI approaches provide efficiency and scalability, and physics-based modules highlight land–surface </w:t>
      </w:r>
      <w:proofErr w:type="gramStart"/>
      <w:r>
        <w:t>feedbacks</w:t>
      </w:r>
      <w:proofErr w:type="gramEnd"/>
      <w:r>
        <w:t xml:space="preserve">. By integrating all approaches, </w:t>
      </w:r>
      <w:proofErr w:type="spellStart"/>
      <w:r>
        <w:t>HiClimaX</w:t>
      </w:r>
      <w:proofErr w:type="spellEnd"/>
      <w:r>
        <w:t xml:space="preserve"> offers a balanced view that acknowledges methodological diversity and provides more robust information for downstream applications.</w:t>
      </w:r>
    </w:p>
    <w:p w14:paraId="13FA31C2" w14:textId="77777777" w:rsidR="00E70D24" w:rsidRDefault="00E70D24" w:rsidP="00E70D24">
      <w:pPr>
        <w:pStyle w:val="Heading1"/>
        <w:rPr>
          <w:lang w:val="en-JP"/>
        </w:rPr>
      </w:pPr>
      <w:r>
        <w:lastRenderedPageBreak/>
        <w:t>5. Discussion</w:t>
      </w:r>
    </w:p>
    <w:p w14:paraId="0053A3E4" w14:textId="77777777" w:rsidR="00E70D24" w:rsidRDefault="00E70D24" w:rsidP="0093419A">
      <w:r>
        <w:t xml:space="preserve">The development of </w:t>
      </w:r>
      <w:proofErr w:type="spellStart"/>
      <w:r>
        <w:t>HiClimaX</w:t>
      </w:r>
      <w:proofErr w:type="spellEnd"/>
      <w:r>
        <w:t xml:space="preserve"> addresses several persistent challenges in urban climate downscaling. By integrating six methodological families within a single modular framework, the system moves beyond the fragmented landscape of existing approaches, where studies typically rely on one or two methods applied in isolation. The proof-of-concept experiments demonstrate that </w:t>
      </w:r>
      <w:proofErr w:type="spellStart"/>
      <w:r>
        <w:t>HiClimaX</w:t>
      </w:r>
      <w:proofErr w:type="spellEnd"/>
      <w:r>
        <w:t xml:space="preserve"> can reproduce salient urban climate features across diverse environments and, more importantly, provide a structured basis for inter-method comparison and uncertainty quantification.</w:t>
      </w:r>
    </w:p>
    <w:p w14:paraId="0D268DBF" w14:textId="77777777" w:rsidR="00E70D24" w:rsidRDefault="00E70D24" w:rsidP="0093419A">
      <w:r>
        <w:t xml:space="preserve">A key advantage of </w:t>
      </w:r>
      <w:proofErr w:type="spellStart"/>
      <w:r>
        <w:t>HiClimaX</w:t>
      </w:r>
      <w:proofErr w:type="spellEnd"/>
      <w:r>
        <w:t xml:space="preserve"> is that it allows a direct comparison of downscaling methods within a unified system. Table 1 summarizes the main strengths and weaknesses of the six approaches currently implemented. Dynamical simulations (D-DS, PGW-DS) are indispensable for resolving processes such as convection, urban heat islands, and circulation </w:t>
      </w:r>
      <w:proofErr w:type="gramStart"/>
      <w:r>
        <w:t>feedbacks</w:t>
      </w:r>
      <w:proofErr w:type="gramEnd"/>
      <w:r>
        <w:t xml:space="preserve">, but their computational demands limit the length and number of simulations. Statistical methods, by contrast, are computationally inexpensive and scalable, but rely on stationarity assumptions that may fail under climate change. Physics-based approaches (LSP-DS) capture land–atmosphere </w:t>
      </w:r>
      <w:proofErr w:type="gramStart"/>
      <w:r>
        <w:t>feedbacks</w:t>
      </w:r>
      <w:proofErr w:type="gramEnd"/>
      <w:r>
        <w:t>, while AI-based downscaling provides efficiency and adaptability but raises questions of generalizability and interpretability. The combination of these approaches in a single ensemble framework ensures that the limitations of one method are balanced by the strengths of others.</w:t>
      </w:r>
    </w:p>
    <w:p w14:paraId="1B189694" w14:textId="77777777" w:rsidR="00E70D24" w:rsidRDefault="00E70D24" w:rsidP="00E70D24">
      <w:pPr>
        <w:pStyle w:val="NormalWeb"/>
      </w:pPr>
      <w:r>
        <w:rPr>
          <w:rStyle w:val="Strong"/>
        </w:rPr>
        <w:t xml:space="preserve">Table 1. Advantages and disadvantages of the six downscaling approaches implemented in </w:t>
      </w:r>
      <w:proofErr w:type="spellStart"/>
      <w:r>
        <w:rPr>
          <w:rStyle w:val="Strong"/>
        </w:rPr>
        <w:t>HiClimaX</w:t>
      </w:r>
      <w:proofErr w:type="spellEnd"/>
      <w:r>
        <w:rPr>
          <w:rStyle w:val="Strong"/>
        </w:rPr>
        <w:t>.</w:t>
      </w:r>
    </w:p>
    <w:tbl>
      <w:tblPr>
        <w:tblStyle w:val="Copernicus"/>
        <w:tblW w:w="0" w:type="auto"/>
        <w:tblLook w:val="04A0" w:firstRow="1" w:lastRow="0" w:firstColumn="1" w:lastColumn="0" w:noHBand="0" w:noVBand="1"/>
      </w:tblPr>
      <w:tblGrid>
        <w:gridCol w:w="2026"/>
        <w:gridCol w:w="4095"/>
        <w:gridCol w:w="3904"/>
      </w:tblGrid>
      <w:tr w:rsidR="0093419A" w14:paraId="759CB6F6" w14:textId="77777777" w:rsidTr="009341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557C77" w14:textId="77777777" w:rsidR="00E70D24" w:rsidRDefault="00E70D24" w:rsidP="00AB4829">
            <w:r>
              <w:t>Method</w:t>
            </w:r>
          </w:p>
        </w:tc>
        <w:tc>
          <w:tcPr>
            <w:tcW w:w="0" w:type="auto"/>
            <w:hideMark/>
          </w:tcPr>
          <w:p w14:paraId="7F94ACC1" w14:textId="77777777" w:rsidR="00E70D24" w:rsidRDefault="00E70D24" w:rsidP="00AB4829">
            <w:pPr>
              <w:cnfStyle w:val="100000000000" w:firstRow="1" w:lastRow="0" w:firstColumn="0" w:lastColumn="0" w:oddVBand="0" w:evenVBand="0" w:oddHBand="0" w:evenHBand="0" w:firstRowFirstColumn="0" w:firstRowLastColumn="0" w:lastRowFirstColumn="0" w:lastRowLastColumn="0"/>
            </w:pPr>
            <w:r>
              <w:t>Advantages</w:t>
            </w:r>
          </w:p>
        </w:tc>
        <w:tc>
          <w:tcPr>
            <w:tcW w:w="0" w:type="auto"/>
            <w:hideMark/>
          </w:tcPr>
          <w:p w14:paraId="05B46BEB" w14:textId="77777777" w:rsidR="00E70D24" w:rsidRDefault="00E70D24" w:rsidP="00AB4829">
            <w:pPr>
              <w:cnfStyle w:val="100000000000" w:firstRow="1" w:lastRow="0" w:firstColumn="0" w:lastColumn="0" w:oddVBand="0" w:evenVBand="0" w:oddHBand="0" w:evenHBand="0" w:firstRowFirstColumn="0" w:firstRowLastColumn="0" w:lastRowFirstColumn="0" w:lastRowLastColumn="0"/>
            </w:pPr>
            <w:r>
              <w:t>Disadvantages</w:t>
            </w:r>
          </w:p>
        </w:tc>
      </w:tr>
      <w:tr w:rsidR="0093419A" w14:paraId="33D766DF" w14:textId="77777777" w:rsidTr="0093419A">
        <w:tc>
          <w:tcPr>
            <w:cnfStyle w:val="001000000000" w:firstRow="0" w:lastRow="0" w:firstColumn="1" w:lastColumn="0" w:oddVBand="0" w:evenVBand="0" w:oddHBand="0" w:evenHBand="0" w:firstRowFirstColumn="0" w:firstRowLastColumn="0" w:lastRowFirstColumn="0" w:lastRowLastColumn="0"/>
            <w:tcW w:w="0" w:type="auto"/>
            <w:hideMark/>
          </w:tcPr>
          <w:p w14:paraId="1823FC19" w14:textId="77777777" w:rsidR="00E70D24" w:rsidRDefault="00E70D24" w:rsidP="00AB4829">
            <w:r>
              <w:rPr>
                <w:rStyle w:val="Strong"/>
              </w:rPr>
              <w:t>Direct Dynamical Downscaling (D-DS)</w:t>
            </w:r>
          </w:p>
        </w:tc>
        <w:tc>
          <w:tcPr>
            <w:tcW w:w="0" w:type="auto"/>
            <w:hideMark/>
          </w:tcPr>
          <w:p w14:paraId="378B00CE" w14:textId="77777777" w:rsidR="00E70D24" w:rsidRDefault="00E70D24" w:rsidP="00AB4829">
            <w:pPr>
              <w:cnfStyle w:val="000000000000" w:firstRow="0" w:lastRow="0" w:firstColumn="0" w:lastColumn="0" w:oddVBand="0" w:evenVBand="0" w:oddHBand="0" w:evenHBand="0" w:firstRowFirstColumn="0" w:firstRowLastColumn="0" w:lastRowFirstColumn="0" w:lastRowLastColumn="0"/>
            </w:pPr>
            <w:r>
              <w:t xml:space="preserve">Physically consistent; resolves mesoscale processes (e.g. convection, sea breezes); well-established community models (WRF, </w:t>
            </w:r>
            <w:proofErr w:type="spellStart"/>
            <w:r>
              <w:t>RegCM</w:t>
            </w:r>
            <w:proofErr w:type="spellEnd"/>
            <w:r>
              <w:t>).</w:t>
            </w:r>
          </w:p>
        </w:tc>
        <w:tc>
          <w:tcPr>
            <w:tcW w:w="0" w:type="auto"/>
            <w:hideMark/>
          </w:tcPr>
          <w:p w14:paraId="6AAAC1BD" w14:textId="77777777" w:rsidR="00E70D24" w:rsidRDefault="00E70D24" w:rsidP="00AB4829">
            <w:pPr>
              <w:cnfStyle w:val="000000000000" w:firstRow="0" w:lastRow="0" w:firstColumn="0" w:lastColumn="0" w:oddVBand="0" w:evenVBand="0" w:oddHBand="0" w:evenHBand="0" w:firstRowFirstColumn="0" w:firstRowLastColumn="0" w:lastRowFirstColumn="0" w:lastRowLastColumn="0"/>
            </w:pPr>
            <w:r>
              <w:t>Very high computational cost; sensitive to parameterizations; limited feasibility for long multi-decadal ensembles.</w:t>
            </w:r>
          </w:p>
        </w:tc>
      </w:tr>
      <w:tr w:rsidR="0093419A" w14:paraId="27F398D9" w14:textId="77777777" w:rsidTr="0093419A">
        <w:tc>
          <w:tcPr>
            <w:cnfStyle w:val="001000000000" w:firstRow="0" w:lastRow="0" w:firstColumn="1" w:lastColumn="0" w:oddVBand="0" w:evenVBand="0" w:oddHBand="0" w:evenHBand="0" w:firstRowFirstColumn="0" w:firstRowLastColumn="0" w:lastRowFirstColumn="0" w:lastRowLastColumn="0"/>
            <w:tcW w:w="0" w:type="auto"/>
            <w:hideMark/>
          </w:tcPr>
          <w:p w14:paraId="69925279" w14:textId="77777777" w:rsidR="00E70D24" w:rsidRDefault="00E70D24" w:rsidP="00AB4829">
            <w:r>
              <w:rPr>
                <w:rStyle w:val="Strong"/>
              </w:rPr>
              <w:t>Pseudo-Global Warming (PGW-DS)</w:t>
            </w:r>
          </w:p>
        </w:tc>
        <w:tc>
          <w:tcPr>
            <w:tcW w:w="0" w:type="auto"/>
            <w:hideMark/>
          </w:tcPr>
          <w:p w14:paraId="2D72E784" w14:textId="77777777" w:rsidR="00E70D24" w:rsidRDefault="00E70D24" w:rsidP="00AB4829">
            <w:pPr>
              <w:cnfStyle w:val="000000000000" w:firstRow="0" w:lastRow="0" w:firstColumn="0" w:lastColumn="0" w:oddVBand="0" w:evenVBand="0" w:oddHBand="0" w:evenHBand="0" w:firstRowFirstColumn="0" w:firstRowLastColumn="0" w:lastRowFirstColumn="0" w:lastRowLastColumn="0"/>
            </w:pPr>
            <w:r>
              <w:t>Isolates climate-change signal in extreme events; flexible for event attribution; straightforward experimental design.</w:t>
            </w:r>
          </w:p>
        </w:tc>
        <w:tc>
          <w:tcPr>
            <w:tcW w:w="0" w:type="auto"/>
            <w:hideMark/>
          </w:tcPr>
          <w:p w14:paraId="2C287A96" w14:textId="77777777" w:rsidR="00E70D24" w:rsidRDefault="00E70D24" w:rsidP="00AB4829">
            <w:pPr>
              <w:cnfStyle w:val="000000000000" w:firstRow="0" w:lastRow="0" w:firstColumn="0" w:lastColumn="0" w:oddVBand="0" w:evenVBand="0" w:oddHBand="0" w:evenHBand="0" w:firstRowFirstColumn="0" w:firstRowLastColumn="0" w:lastRowFirstColumn="0" w:lastRowLastColumn="0"/>
            </w:pPr>
            <w:r>
              <w:t xml:space="preserve">Does not provide continuous time series; depends strongly on GCM perturbation patterns; not suitable for long </w:t>
            </w:r>
            <w:proofErr w:type="spellStart"/>
            <w:r>
              <w:t>climatologies</w:t>
            </w:r>
            <w:proofErr w:type="spellEnd"/>
            <w:r>
              <w:t>.</w:t>
            </w:r>
          </w:p>
        </w:tc>
      </w:tr>
      <w:tr w:rsidR="0093419A" w14:paraId="0A33DEAD" w14:textId="77777777" w:rsidTr="0093419A">
        <w:tc>
          <w:tcPr>
            <w:cnfStyle w:val="001000000000" w:firstRow="0" w:lastRow="0" w:firstColumn="1" w:lastColumn="0" w:oddVBand="0" w:evenVBand="0" w:oddHBand="0" w:evenHBand="0" w:firstRowFirstColumn="0" w:firstRowLastColumn="0" w:lastRowFirstColumn="0" w:lastRowLastColumn="0"/>
            <w:tcW w:w="0" w:type="auto"/>
            <w:hideMark/>
          </w:tcPr>
          <w:p w14:paraId="473B73D4" w14:textId="77777777" w:rsidR="00E70D24" w:rsidRDefault="00E70D24" w:rsidP="00AB4829">
            <w:r>
              <w:rPr>
                <w:rStyle w:val="Strong"/>
              </w:rPr>
              <w:t>Statistical–Dynamical Downscaling (SD-DS)</w:t>
            </w:r>
          </w:p>
        </w:tc>
        <w:tc>
          <w:tcPr>
            <w:tcW w:w="0" w:type="auto"/>
            <w:hideMark/>
          </w:tcPr>
          <w:p w14:paraId="4ED7724B" w14:textId="77777777" w:rsidR="00E70D24" w:rsidRDefault="00E70D24" w:rsidP="00AB4829">
            <w:pPr>
              <w:cnfStyle w:val="000000000000" w:firstRow="0" w:lastRow="0" w:firstColumn="0" w:lastColumn="0" w:oddVBand="0" w:evenVBand="0" w:oddHBand="0" w:evenHBand="0" w:firstRowFirstColumn="0" w:firstRowLastColumn="0" w:lastRowFirstColumn="0" w:lastRowLastColumn="0"/>
            </w:pPr>
            <w:r>
              <w:t>Computationally efficient compared to pure dynamical methods; retains circulation–climate relationships; suitable for large ensembles.</w:t>
            </w:r>
          </w:p>
        </w:tc>
        <w:tc>
          <w:tcPr>
            <w:tcW w:w="0" w:type="auto"/>
            <w:hideMark/>
          </w:tcPr>
          <w:p w14:paraId="3A487EC3" w14:textId="77777777" w:rsidR="00E70D24" w:rsidRDefault="00E70D24" w:rsidP="00AB4829">
            <w:pPr>
              <w:cnfStyle w:val="000000000000" w:firstRow="0" w:lastRow="0" w:firstColumn="0" w:lastColumn="0" w:oddVBand="0" w:evenVBand="0" w:oddHBand="0" w:evenHBand="0" w:firstRowFirstColumn="0" w:firstRowLastColumn="0" w:lastRowFirstColumn="0" w:lastRowLastColumn="0"/>
            </w:pPr>
            <w:r>
              <w:t>Requires classification schemes; may underperform for unprecedented circulation states; less process fidelity than full dynamical models.</w:t>
            </w:r>
          </w:p>
        </w:tc>
      </w:tr>
      <w:tr w:rsidR="0093419A" w14:paraId="1FD99B47" w14:textId="77777777" w:rsidTr="0093419A">
        <w:tc>
          <w:tcPr>
            <w:cnfStyle w:val="001000000000" w:firstRow="0" w:lastRow="0" w:firstColumn="1" w:lastColumn="0" w:oddVBand="0" w:evenVBand="0" w:oddHBand="0" w:evenHBand="0" w:firstRowFirstColumn="0" w:firstRowLastColumn="0" w:lastRowFirstColumn="0" w:lastRowLastColumn="0"/>
            <w:tcW w:w="0" w:type="auto"/>
            <w:hideMark/>
          </w:tcPr>
          <w:p w14:paraId="02F2528A" w14:textId="77777777" w:rsidR="00E70D24" w:rsidRDefault="00E70D24" w:rsidP="00AB4829">
            <w:r>
              <w:rPr>
                <w:rStyle w:val="Strong"/>
              </w:rPr>
              <w:t>Land-Surface-Physics-Based Downscaling (LSP-DS)</w:t>
            </w:r>
          </w:p>
        </w:tc>
        <w:tc>
          <w:tcPr>
            <w:tcW w:w="0" w:type="auto"/>
            <w:hideMark/>
          </w:tcPr>
          <w:p w14:paraId="25553ABF" w14:textId="77777777" w:rsidR="00E70D24" w:rsidRDefault="00E70D24" w:rsidP="00AB4829">
            <w:pPr>
              <w:cnfStyle w:val="000000000000" w:firstRow="0" w:lastRow="0" w:firstColumn="0" w:lastColumn="0" w:oddVBand="0" w:evenVBand="0" w:oddHBand="0" w:evenHBand="0" w:firstRowFirstColumn="0" w:firstRowLastColumn="0" w:lastRowFirstColumn="0" w:lastRowLastColumn="0"/>
            </w:pPr>
            <w:r>
              <w:t xml:space="preserve">Explicit representation of surface fluxes, morphology, and anthropogenic heat; highlights land–atmosphere </w:t>
            </w:r>
            <w:proofErr w:type="gramStart"/>
            <w:r>
              <w:t>feedbacks</w:t>
            </w:r>
            <w:proofErr w:type="gramEnd"/>
            <w:r>
              <w:t>; valuable for UHI and heatwave studies.</w:t>
            </w:r>
          </w:p>
        </w:tc>
        <w:tc>
          <w:tcPr>
            <w:tcW w:w="0" w:type="auto"/>
            <w:hideMark/>
          </w:tcPr>
          <w:p w14:paraId="51BB7739" w14:textId="77777777" w:rsidR="00E70D24" w:rsidRDefault="00E70D24" w:rsidP="00AB4829">
            <w:pPr>
              <w:cnfStyle w:val="000000000000" w:firstRow="0" w:lastRow="0" w:firstColumn="0" w:lastColumn="0" w:oddVBand="0" w:evenVBand="0" w:oddHBand="0" w:evenHBand="0" w:firstRowFirstColumn="0" w:firstRowLastColumn="0" w:lastRowFirstColumn="0" w:lastRowLastColumn="0"/>
            </w:pPr>
            <w:r>
              <w:t xml:space="preserve">Limited to near-surface processes; requires detailed urban data; lacks free atmosphere dynamics, so cannot capture circulation </w:t>
            </w:r>
            <w:proofErr w:type="gramStart"/>
            <w:r>
              <w:t>feedbacks</w:t>
            </w:r>
            <w:proofErr w:type="gramEnd"/>
            <w:r>
              <w:t>.</w:t>
            </w:r>
          </w:p>
        </w:tc>
      </w:tr>
      <w:tr w:rsidR="0093419A" w14:paraId="0DE0EFF7" w14:textId="77777777" w:rsidTr="0093419A">
        <w:tc>
          <w:tcPr>
            <w:cnfStyle w:val="001000000000" w:firstRow="0" w:lastRow="0" w:firstColumn="1" w:lastColumn="0" w:oddVBand="0" w:evenVBand="0" w:oddHBand="0" w:evenHBand="0" w:firstRowFirstColumn="0" w:firstRowLastColumn="0" w:lastRowFirstColumn="0" w:lastRowLastColumn="0"/>
            <w:tcW w:w="0" w:type="auto"/>
            <w:hideMark/>
          </w:tcPr>
          <w:p w14:paraId="7A26B6E6" w14:textId="77777777" w:rsidR="00E70D24" w:rsidRDefault="00E70D24" w:rsidP="00AB4829">
            <w:r>
              <w:rPr>
                <w:rStyle w:val="Strong"/>
              </w:rPr>
              <w:lastRenderedPageBreak/>
              <w:t>Statistical Downscaling (SDS)</w:t>
            </w:r>
          </w:p>
        </w:tc>
        <w:tc>
          <w:tcPr>
            <w:tcW w:w="0" w:type="auto"/>
            <w:hideMark/>
          </w:tcPr>
          <w:p w14:paraId="3A439A07" w14:textId="77777777" w:rsidR="00E70D24" w:rsidRDefault="00E70D24" w:rsidP="00AB4829">
            <w:pPr>
              <w:cnfStyle w:val="000000000000" w:firstRow="0" w:lastRow="0" w:firstColumn="0" w:lastColumn="0" w:oddVBand="0" w:evenVBand="0" w:oddHBand="0" w:evenHBand="0" w:firstRowFirstColumn="0" w:firstRowLastColumn="0" w:lastRowFirstColumn="0" w:lastRowLastColumn="0"/>
            </w:pPr>
            <w:r>
              <w:t>Very fast and computationally inexpensive; provides long time series; simple to implement; useful for multi-model ensembles.</w:t>
            </w:r>
          </w:p>
        </w:tc>
        <w:tc>
          <w:tcPr>
            <w:tcW w:w="0" w:type="auto"/>
            <w:hideMark/>
          </w:tcPr>
          <w:p w14:paraId="4E78DDC7" w14:textId="77777777" w:rsidR="00E70D24" w:rsidRDefault="00E70D24" w:rsidP="00AB4829">
            <w:pPr>
              <w:cnfStyle w:val="000000000000" w:firstRow="0" w:lastRow="0" w:firstColumn="0" w:lastColumn="0" w:oddVBand="0" w:evenVBand="0" w:oddHBand="0" w:evenHBand="0" w:firstRowFirstColumn="0" w:firstRowLastColumn="0" w:lastRowFirstColumn="0" w:lastRowLastColumn="0"/>
            </w:pPr>
            <w:r>
              <w:t>Assumes stationarity of predictor–predictand relationships; limited ability to represent extremes; less spatial detail.</w:t>
            </w:r>
          </w:p>
        </w:tc>
      </w:tr>
      <w:tr w:rsidR="0093419A" w14:paraId="138310FF" w14:textId="77777777" w:rsidTr="0093419A">
        <w:tc>
          <w:tcPr>
            <w:cnfStyle w:val="001000000000" w:firstRow="0" w:lastRow="0" w:firstColumn="1" w:lastColumn="0" w:oddVBand="0" w:evenVBand="0" w:oddHBand="0" w:evenHBand="0" w:firstRowFirstColumn="0" w:firstRowLastColumn="0" w:lastRowFirstColumn="0" w:lastRowLastColumn="0"/>
            <w:tcW w:w="0" w:type="auto"/>
            <w:hideMark/>
          </w:tcPr>
          <w:p w14:paraId="096293F3" w14:textId="77777777" w:rsidR="00E70D24" w:rsidRDefault="00E70D24" w:rsidP="00AB4829">
            <w:r>
              <w:rPr>
                <w:rStyle w:val="Strong"/>
              </w:rPr>
              <w:t>AI-Based Downscaling (AI-DS)</w:t>
            </w:r>
          </w:p>
        </w:tc>
        <w:tc>
          <w:tcPr>
            <w:tcW w:w="0" w:type="auto"/>
            <w:hideMark/>
          </w:tcPr>
          <w:p w14:paraId="25D2941E" w14:textId="77777777" w:rsidR="00E70D24" w:rsidRDefault="00E70D24" w:rsidP="00AB4829">
            <w:pPr>
              <w:cnfStyle w:val="000000000000" w:firstRow="0" w:lastRow="0" w:firstColumn="0" w:lastColumn="0" w:oddVBand="0" w:evenVBand="0" w:oddHBand="0" w:evenHBand="0" w:firstRowFirstColumn="0" w:firstRowLastColumn="0" w:lastRowFirstColumn="0" w:lastRowLastColumn="0"/>
            </w:pPr>
            <w:r>
              <w:t>High computational efficiency once trained; captures complex nonlinear patterns; adaptable to multiple cities; scalable.</w:t>
            </w:r>
          </w:p>
        </w:tc>
        <w:tc>
          <w:tcPr>
            <w:tcW w:w="0" w:type="auto"/>
            <w:hideMark/>
          </w:tcPr>
          <w:p w14:paraId="1A88F747" w14:textId="77777777" w:rsidR="00E70D24" w:rsidRDefault="00E70D24" w:rsidP="00AB4829">
            <w:pPr>
              <w:cnfStyle w:val="000000000000" w:firstRow="0" w:lastRow="0" w:firstColumn="0" w:lastColumn="0" w:oddVBand="0" w:evenVBand="0" w:oddHBand="0" w:evenHBand="0" w:firstRowFirstColumn="0" w:firstRowLastColumn="0" w:lastRowFirstColumn="0" w:lastRowLastColumn="0"/>
            </w:pPr>
            <w:r>
              <w:t>Requires large training datasets; generalizability uncertain outside training domain; risk of black-box behaviour; dependent on training quality.</w:t>
            </w:r>
          </w:p>
        </w:tc>
      </w:tr>
      <w:tr w:rsidR="00E70D24" w14:paraId="3D21AEC2" w14:textId="77777777" w:rsidTr="0093419A">
        <w:tc>
          <w:tcPr>
            <w:cnfStyle w:val="001000000000" w:firstRow="0" w:lastRow="0" w:firstColumn="1" w:lastColumn="0" w:oddVBand="0" w:evenVBand="0" w:oddHBand="0" w:evenHBand="0" w:firstRowFirstColumn="0" w:firstRowLastColumn="0" w:lastRowFirstColumn="0" w:lastRowLastColumn="0"/>
            <w:tcW w:w="0" w:type="auto"/>
          </w:tcPr>
          <w:p w14:paraId="262FD4F0" w14:textId="77777777" w:rsidR="00E70D24" w:rsidRDefault="00E70D24" w:rsidP="00AB4829">
            <w:pPr>
              <w:rPr>
                <w:rStyle w:val="Strong"/>
              </w:rPr>
            </w:pPr>
          </w:p>
        </w:tc>
        <w:tc>
          <w:tcPr>
            <w:tcW w:w="0" w:type="auto"/>
          </w:tcPr>
          <w:p w14:paraId="1408CDE9" w14:textId="77777777" w:rsidR="00E70D24" w:rsidRDefault="00E70D24" w:rsidP="00AB4829">
            <w:pPr>
              <w:cnfStyle w:val="000000000000" w:firstRow="0" w:lastRow="0" w:firstColumn="0" w:lastColumn="0" w:oddVBand="0" w:evenVBand="0" w:oddHBand="0" w:evenHBand="0" w:firstRowFirstColumn="0" w:firstRowLastColumn="0" w:lastRowFirstColumn="0" w:lastRowLastColumn="0"/>
            </w:pPr>
          </w:p>
        </w:tc>
        <w:tc>
          <w:tcPr>
            <w:tcW w:w="0" w:type="auto"/>
          </w:tcPr>
          <w:p w14:paraId="30D02B81" w14:textId="77777777" w:rsidR="00E70D24" w:rsidRDefault="00E70D24" w:rsidP="00AB4829">
            <w:pPr>
              <w:cnfStyle w:val="000000000000" w:firstRow="0" w:lastRow="0" w:firstColumn="0" w:lastColumn="0" w:oddVBand="0" w:evenVBand="0" w:oddHBand="0" w:evenHBand="0" w:firstRowFirstColumn="0" w:firstRowLastColumn="0" w:lastRowFirstColumn="0" w:lastRowLastColumn="0"/>
            </w:pPr>
          </w:p>
        </w:tc>
      </w:tr>
    </w:tbl>
    <w:p w14:paraId="503A1979" w14:textId="77777777" w:rsidR="00E70D24" w:rsidRDefault="00E70D24" w:rsidP="00E70D24">
      <w:pPr>
        <w:pStyle w:val="Heading3"/>
        <w:rPr>
          <w:lang w:val="en-JP"/>
        </w:rPr>
      </w:pPr>
      <w:r>
        <w:t xml:space="preserve">Table X. Cross-comparison of downscaling methods in </w:t>
      </w:r>
      <w:proofErr w:type="spellStart"/>
      <w:r>
        <w:t>HiClimaX</w:t>
      </w:r>
      <w:proofErr w:type="spellEnd"/>
      <w:r>
        <w:t xml:space="preserve"> by key attributes.</w:t>
      </w:r>
    </w:p>
    <w:tbl>
      <w:tblPr>
        <w:tblStyle w:val="Copernicus"/>
        <w:tblW w:w="0" w:type="auto"/>
        <w:tblLook w:val="04A0" w:firstRow="1" w:lastRow="0" w:firstColumn="1" w:lastColumn="0" w:noHBand="0" w:noVBand="1"/>
      </w:tblPr>
      <w:tblGrid>
        <w:gridCol w:w="1660"/>
        <w:gridCol w:w="1382"/>
        <w:gridCol w:w="1483"/>
        <w:gridCol w:w="1335"/>
        <w:gridCol w:w="1623"/>
        <w:gridCol w:w="1186"/>
        <w:gridCol w:w="1356"/>
      </w:tblGrid>
      <w:tr w:rsidR="00E70D24" w14:paraId="73F0EDAF" w14:textId="77777777" w:rsidTr="009341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F01E5B" w14:textId="1A5161E5" w:rsidR="00E70D24" w:rsidRDefault="00E70D24" w:rsidP="00AB4829">
            <w:r>
              <w:t>Attribute/ Method</w:t>
            </w:r>
          </w:p>
        </w:tc>
        <w:tc>
          <w:tcPr>
            <w:tcW w:w="0" w:type="auto"/>
            <w:hideMark/>
          </w:tcPr>
          <w:p w14:paraId="19C97C60" w14:textId="77777777" w:rsidR="00E70D24" w:rsidRDefault="00E70D24" w:rsidP="00AB4829">
            <w:pPr>
              <w:cnfStyle w:val="100000000000" w:firstRow="1" w:lastRow="0" w:firstColumn="0" w:lastColumn="0" w:oddVBand="0" w:evenVBand="0" w:oddHBand="0" w:evenHBand="0" w:firstRowFirstColumn="0" w:firstRowLastColumn="0" w:lastRowFirstColumn="0" w:lastRowLastColumn="0"/>
            </w:pPr>
            <w:r>
              <w:t>Direct Dynamical (D-DS)</w:t>
            </w:r>
          </w:p>
        </w:tc>
        <w:tc>
          <w:tcPr>
            <w:tcW w:w="0" w:type="auto"/>
            <w:hideMark/>
          </w:tcPr>
          <w:p w14:paraId="61B53741" w14:textId="77777777" w:rsidR="00E70D24" w:rsidRDefault="00E70D24" w:rsidP="00AB4829">
            <w:pPr>
              <w:cnfStyle w:val="100000000000" w:firstRow="1" w:lastRow="0" w:firstColumn="0" w:lastColumn="0" w:oddVBand="0" w:evenVBand="0" w:oddHBand="0" w:evenHBand="0" w:firstRowFirstColumn="0" w:firstRowLastColumn="0" w:lastRowFirstColumn="0" w:lastRowLastColumn="0"/>
            </w:pPr>
            <w:r>
              <w:t>PGW Experiments (PGW-DS)</w:t>
            </w:r>
          </w:p>
        </w:tc>
        <w:tc>
          <w:tcPr>
            <w:tcW w:w="0" w:type="auto"/>
            <w:hideMark/>
          </w:tcPr>
          <w:p w14:paraId="0015A44A" w14:textId="77777777" w:rsidR="00E70D24" w:rsidRDefault="00E70D24" w:rsidP="00AB4829">
            <w:pPr>
              <w:cnfStyle w:val="100000000000" w:firstRow="1" w:lastRow="0" w:firstColumn="0" w:lastColumn="0" w:oddVBand="0" w:evenVBand="0" w:oddHBand="0" w:evenHBand="0" w:firstRowFirstColumn="0" w:firstRowLastColumn="0" w:lastRowFirstColumn="0" w:lastRowLastColumn="0"/>
            </w:pPr>
            <w:r>
              <w:t>Statistical–Dynamical (SD-DS)</w:t>
            </w:r>
          </w:p>
        </w:tc>
        <w:tc>
          <w:tcPr>
            <w:tcW w:w="0" w:type="auto"/>
            <w:hideMark/>
          </w:tcPr>
          <w:p w14:paraId="594C5F08" w14:textId="77777777" w:rsidR="00E70D24" w:rsidRDefault="00E70D24" w:rsidP="00AB4829">
            <w:pPr>
              <w:cnfStyle w:val="100000000000" w:firstRow="1" w:lastRow="0" w:firstColumn="0" w:lastColumn="0" w:oddVBand="0" w:evenVBand="0" w:oddHBand="0" w:evenHBand="0" w:firstRowFirstColumn="0" w:firstRowLastColumn="0" w:lastRowFirstColumn="0" w:lastRowLastColumn="0"/>
            </w:pPr>
            <w:r>
              <w:t>Land-Surface Physics (LSP-DS)</w:t>
            </w:r>
          </w:p>
        </w:tc>
        <w:tc>
          <w:tcPr>
            <w:tcW w:w="0" w:type="auto"/>
            <w:hideMark/>
          </w:tcPr>
          <w:p w14:paraId="61E69FEE" w14:textId="77777777" w:rsidR="00E70D24" w:rsidRDefault="00E70D24" w:rsidP="00AB4829">
            <w:pPr>
              <w:cnfStyle w:val="100000000000" w:firstRow="1" w:lastRow="0" w:firstColumn="0" w:lastColumn="0" w:oddVBand="0" w:evenVBand="0" w:oddHBand="0" w:evenHBand="0" w:firstRowFirstColumn="0" w:firstRowLastColumn="0" w:lastRowFirstColumn="0" w:lastRowLastColumn="0"/>
            </w:pPr>
            <w:r>
              <w:t>Statistical (SDS)</w:t>
            </w:r>
          </w:p>
        </w:tc>
        <w:tc>
          <w:tcPr>
            <w:tcW w:w="0" w:type="auto"/>
            <w:hideMark/>
          </w:tcPr>
          <w:p w14:paraId="679255C2" w14:textId="77777777" w:rsidR="00E70D24" w:rsidRDefault="00E70D24" w:rsidP="00AB4829">
            <w:pPr>
              <w:cnfStyle w:val="100000000000" w:firstRow="1" w:lastRow="0" w:firstColumn="0" w:lastColumn="0" w:oddVBand="0" w:evenVBand="0" w:oddHBand="0" w:evenHBand="0" w:firstRowFirstColumn="0" w:firstRowLastColumn="0" w:lastRowFirstColumn="0" w:lastRowLastColumn="0"/>
            </w:pPr>
            <w:r>
              <w:t>AI-Based (AI-DS)</w:t>
            </w:r>
          </w:p>
        </w:tc>
      </w:tr>
      <w:tr w:rsidR="00E70D24" w14:paraId="13A736F6" w14:textId="77777777" w:rsidTr="0093419A">
        <w:tc>
          <w:tcPr>
            <w:cnfStyle w:val="001000000000" w:firstRow="0" w:lastRow="0" w:firstColumn="1" w:lastColumn="0" w:oddVBand="0" w:evenVBand="0" w:oddHBand="0" w:evenHBand="0" w:firstRowFirstColumn="0" w:firstRowLastColumn="0" w:lastRowFirstColumn="0" w:lastRowLastColumn="0"/>
            <w:tcW w:w="0" w:type="auto"/>
            <w:hideMark/>
          </w:tcPr>
          <w:p w14:paraId="7CDB363A" w14:textId="77777777" w:rsidR="00E70D24" w:rsidRDefault="00E70D24" w:rsidP="00AB4829">
            <w:r>
              <w:rPr>
                <w:rStyle w:val="Strong"/>
              </w:rPr>
              <w:t>Physical consistency</w:t>
            </w:r>
          </w:p>
        </w:tc>
        <w:tc>
          <w:tcPr>
            <w:tcW w:w="0" w:type="auto"/>
            <w:hideMark/>
          </w:tcPr>
          <w:p w14:paraId="00BC3F3E" w14:textId="77777777" w:rsidR="00E70D24" w:rsidRDefault="00E70D24" w:rsidP="00AB4829">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p>
        </w:tc>
        <w:tc>
          <w:tcPr>
            <w:tcW w:w="0" w:type="auto"/>
            <w:hideMark/>
          </w:tcPr>
          <w:p w14:paraId="50D2DDDA" w14:textId="77777777" w:rsidR="00E70D24" w:rsidRDefault="00E70D24" w:rsidP="00AB4829">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p>
        </w:tc>
        <w:tc>
          <w:tcPr>
            <w:tcW w:w="0" w:type="auto"/>
            <w:hideMark/>
          </w:tcPr>
          <w:p w14:paraId="4495D41B" w14:textId="77777777" w:rsidR="00E70D24" w:rsidRDefault="00E70D24" w:rsidP="00AB4829">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p>
        </w:tc>
        <w:tc>
          <w:tcPr>
            <w:tcW w:w="0" w:type="auto"/>
            <w:hideMark/>
          </w:tcPr>
          <w:p w14:paraId="42F6E1EE" w14:textId="77777777" w:rsidR="00E70D24" w:rsidRDefault="00E70D24" w:rsidP="00AB4829">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p>
        </w:tc>
        <w:tc>
          <w:tcPr>
            <w:tcW w:w="0" w:type="auto"/>
            <w:hideMark/>
          </w:tcPr>
          <w:p w14:paraId="1446444D" w14:textId="77777777" w:rsidR="00E70D24" w:rsidRDefault="00E70D24" w:rsidP="00AB4829">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p>
        </w:tc>
        <w:tc>
          <w:tcPr>
            <w:tcW w:w="0" w:type="auto"/>
            <w:hideMark/>
          </w:tcPr>
          <w:p w14:paraId="66B6F378" w14:textId="77777777" w:rsidR="00E70D24" w:rsidRDefault="00E70D24" w:rsidP="00AB4829">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p>
        </w:tc>
      </w:tr>
      <w:tr w:rsidR="00E70D24" w14:paraId="42B240EA" w14:textId="77777777" w:rsidTr="0093419A">
        <w:tc>
          <w:tcPr>
            <w:cnfStyle w:val="001000000000" w:firstRow="0" w:lastRow="0" w:firstColumn="1" w:lastColumn="0" w:oddVBand="0" w:evenVBand="0" w:oddHBand="0" w:evenHBand="0" w:firstRowFirstColumn="0" w:firstRowLastColumn="0" w:lastRowFirstColumn="0" w:lastRowLastColumn="0"/>
            <w:tcW w:w="0" w:type="auto"/>
            <w:hideMark/>
          </w:tcPr>
          <w:p w14:paraId="10F43238" w14:textId="77777777" w:rsidR="00E70D24" w:rsidRDefault="00E70D24" w:rsidP="00AB4829">
            <w:r>
              <w:rPr>
                <w:rStyle w:val="Strong"/>
              </w:rPr>
              <w:t>Computational cost</w:t>
            </w:r>
          </w:p>
        </w:tc>
        <w:tc>
          <w:tcPr>
            <w:tcW w:w="0" w:type="auto"/>
            <w:hideMark/>
          </w:tcPr>
          <w:p w14:paraId="03374053" w14:textId="77777777" w:rsidR="00E70D24" w:rsidRDefault="00E70D24" w:rsidP="00AB4829">
            <w:pPr>
              <w:cnfStyle w:val="000000000000" w:firstRow="0" w:lastRow="0" w:firstColumn="0" w:lastColumn="0" w:oddVBand="0" w:evenVBand="0" w:oddHBand="0" w:evenHBand="0" w:firstRowFirstColumn="0" w:firstRowLastColumn="0" w:lastRowFirstColumn="0" w:lastRowLastColumn="0"/>
            </w:pPr>
            <w:r>
              <w:t>Very high</w:t>
            </w:r>
          </w:p>
        </w:tc>
        <w:tc>
          <w:tcPr>
            <w:tcW w:w="0" w:type="auto"/>
            <w:hideMark/>
          </w:tcPr>
          <w:p w14:paraId="79AB698B" w14:textId="77777777" w:rsidR="00E70D24" w:rsidRDefault="00E70D24" w:rsidP="00AB4829">
            <w:pPr>
              <w:cnfStyle w:val="000000000000" w:firstRow="0" w:lastRow="0" w:firstColumn="0" w:lastColumn="0" w:oddVBand="0" w:evenVBand="0" w:oddHBand="0" w:evenHBand="0" w:firstRowFirstColumn="0" w:firstRowLastColumn="0" w:lastRowFirstColumn="0" w:lastRowLastColumn="0"/>
            </w:pPr>
            <w:r>
              <w:t>High (event-based)</w:t>
            </w:r>
          </w:p>
        </w:tc>
        <w:tc>
          <w:tcPr>
            <w:tcW w:w="0" w:type="auto"/>
            <w:hideMark/>
          </w:tcPr>
          <w:p w14:paraId="3FFCFEF2" w14:textId="77777777" w:rsidR="00E70D24" w:rsidRDefault="00E70D24" w:rsidP="00AB4829">
            <w:pPr>
              <w:cnfStyle w:val="000000000000" w:firstRow="0" w:lastRow="0" w:firstColumn="0" w:lastColumn="0" w:oddVBand="0" w:evenVBand="0" w:oddHBand="0" w:evenHBand="0" w:firstRowFirstColumn="0" w:firstRowLastColumn="0" w:lastRowFirstColumn="0" w:lastRowLastColumn="0"/>
            </w:pPr>
            <w:r>
              <w:t>Moderate</w:t>
            </w:r>
          </w:p>
        </w:tc>
        <w:tc>
          <w:tcPr>
            <w:tcW w:w="0" w:type="auto"/>
            <w:hideMark/>
          </w:tcPr>
          <w:p w14:paraId="67CD67A6" w14:textId="77777777" w:rsidR="00E70D24" w:rsidRDefault="00E70D24" w:rsidP="00AB4829">
            <w:pPr>
              <w:cnfStyle w:val="000000000000" w:firstRow="0" w:lastRow="0" w:firstColumn="0" w:lastColumn="0" w:oddVBand="0" w:evenVBand="0" w:oddHBand="0" w:evenHBand="0" w:firstRowFirstColumn="0" w:firstRowLastColumn="0" w:lastRowFirstColumn="0" w:lastRowLastColumn="0"/>
            </w:pPr>
            <w:r>
              <w:t>Low</w:t>
            </w:r>
          </w:p>
        </w:tc>
        <w:tc>
          <w:tcPr>
            <w:tcW w:w="0" w:type="auto"/>
            <w:hideMark/>
          </w:tcPr>
          <w:p w14:paraId="4E0E2E0F" w14:textId="77777777" w:rsidR="00E70D24" w:rsidRDefault="00E70D24" w:rsidP="00AB4829">
            <w:pPr>
              <w:cnfStyle w:val="000000000000" w:firstRow="0" w:lastRow="0" w:firstColumn="0" w:lastColumn="0" w:oddVBand="0" w:evenVBand="0" w:oddHBand="0" w:evenHBand="0" w:firstRowFirstColumn="0" w:firstRowLastColumn="0" w:lastRowFirstColumn="0" w:lastRowLastColumn="0"/>
            </w:pPr>
            <w:r>
              <w:t>Very low</w:t>
            </w:r>
          </w:p>
        </w:tc>
        <w:tc>
          <w:tcPr>
            <w:tcW w:w="0" w:type="auto"/>
            <w:hideMark/>
          </w:tcPr>
          <w:p w14:paraId="1109DEBA" w14:textId="77777777" w:rsidR="00E70D24" w:rsidRDefault="00E70D24" w:rsidP="00AB4829">
            <w:pPr>
              <w:cnfStyle w:val="000000000000" w:firstRow="0" w:lastRow="0" w:firstColumn="0" w:lastColumn="0" w:oddVBand="0" w:evenVBand="0" w:oddHBand="0" w:evenHBand="0" w:firstRowFirstColumn="0" w:firstRowLastColumn="0" w:lastRowFirstColumn="0" w:lastRowLastColumn="0"/>
            </w:pPr>
            <w:r>
              <w:t>Very low (after training)</w:t>
            </w:r>
          </w:p>
        </w:tc>
      </w:tr>
      <w:tr w:rsidR="00E70D24" w14:paraId="07891CC0" w14:textId="77777777" w:rsidTr="0093419A">
        <w:tc>
          <w:tcPr>
            <w:cnfStyle w:val="001000000000" w:firstRow="0" w:lastRow="0" w:firstColumn="1" w:lastColumn="0" w:oddVBand="0" w:evenVBand="0" w:oddHBand="0" w:evenHBand="0" w:firstRowFirstColumn="0" w:firstRowLastColumn="0" w:lastRowFirstColumn="0" w:lastRowLastColumn="0"/>
            <w:tcW w:w="0" w:type="auto"/>
            <w:hideMark/>
          </w:tcPr>
          <w:p w14:paraId="4B712574" w14:textId="77777777" w:rsidR="00E70D24" w:rsidRDefault="00E70D24" w:rsidP="00AB4829">
            <w:r>
              <w:rPr>
                <w:rStyle w:val="Strong"/>
              </w:rPr>
              <w:t>Data requirements</w:t>
            </w:r>
          </w:p>
        </w:tc>
        <w:tc>
          <w:tcPr>
            <w:tcW w:w="0" w:type="auto"/>
            <w:hideMark/>
          </w:tcPr>
          <w:p w14:paraId="4EB6A1D1" w14:textId="77777777" w:rsidR="00E70D24" w:rsidRDefault="00E70D24" w:rsidP="00AB4829">
            <w:pPr>
              <w:cnfStyle w:val="000000000000" w:firstRow="0" w:lastRow="0" w:firstColumn="0" w:lastColumn="0" w:oddVBand="0" w:evenVBand="0" w:oddHBand="0" w:evenHBand="0" w:firstRowFirstColumn="0" w:firstRowLastColumn="0" w:lastRowFirstColumn="0" w:lastRowLastColumn="0"/>
            </w:pPr>
            <w:r>
              <w:t>Reanalysis + GCM + urban parameters</w:t>
            </w:r>
          </w:p>
        </w:tc>
        <w:tc>
          <w:tcPr>
            <w:tcW w:w="0" w:type="auto"/>
            <w:hideMark/>
          </w:tcPr>
          <w:p w14:paraId="4F6A9E20" w14:textId="77777777" w:rsidR="00E70D24" w:rsidRDefault="00E70D24" w:rsidP="00AB4829">
            <w:pPr>
              <w:cnfStyle w:val="000000000000" w:firstRow="0" w:lastRow="0" w:firstColumn="0" w:lastColumn="0" w:oddVBand="0" w:evenVBand="0" w:oddHBand="0" w:evenHBand="0" w:firstRowFirstColumn="0" w:firstRowLastColumn="0" w:lastRowFirstColumn="0" w:lastRowLastColumn="0"/>
            </w:pPr>
            <w:r>
              <w:t>Same as D-DS + perturbation fields</w:t>
            </w:r>
          </w:p>
        </w:tc>
        <w:tc>
          <w:tcPr>
            <w:tcW w:w="0" w:type="auto"/>
            <w:hideMark/>
          </w:tcPr>
          <w:p w14:paraId="48410B3D" w14:textId="77777777" w:rsidR="00E70D24" w:rsidRDefault="00E70D24" w:rsidP="00AB4829">
            <w:pPr>
              <w:cnfStyle w:val="000000000000" w:firstRow="0" w:lastRow="0" w:firstColumn="0" w:lastColumn="0" w:oddVBand="0" w:evenVBand="0" w:oddHBand="0" w:evenHBand="0" w:firstRowFirstColumn="0" w:firstRowLastColumn="0" w:lastRowFirstColumn="0" w:lastRowLastColumn="0"/>
            </w:pPr>
            <w:r>
              <w:t>Reanalysis + GCM</w:t>
            </w:r>
          </w:p>
        </w:tc>
        <w:tc>
          <w:tcPr>
            <w:tcW w:w="0" w:type="auto"/>
            <w:hideMark/>
          </w:tcPr>
          <w:p w14:paraId="0259064B" w14:textId="77777777" w:rsidR="00E70D24" w:rsidRDefault="00E70D24" w:rsidP="00AB4829">
            <w:pPr>
              <w:cnfStyle w:val="000000000000" w:firstRow="0" w:lastRow="0" w:firstColumn="0" w:lastColumn="0" w:oddVBand="0" w:evenVBand="0" w:oddHBand="0" w:evenHBand="0" w:firstRowFirstColumn="0" w:firstRowLastColumn="0" w:lastRowFirstColumn="0" w:lastRowLastColumn="0"/>
            </w:pPr>
            <w:r>
              <w:t>High-resolution urban data (LUC, AH, morphology)</w:t>
            </w:r>
          </w:p>
        </w:tc>
        <w:tc>
          <w:tcPr>
            <w:tcW w:w="0" w:type="auto"/>
            <w:hideMark/>
          </w:tcPr>
          <w:p w14:paraId="2C532AA3" w14:textId="77777777" w:rsidR="00E70D24" w:rsidRDefault="00E70D24" w:rsidP="00AB4829">
            <w:pPr>
              <w:cnfStyle w:val="000000000000" w:firstRow="0" w:lastRow="0" w:firstColumn="0" w:lastColumn="0" w:oddVBand="0" w:evenVBand="0" w:oddHBand="0" w:evenHBand="0" w:firstRowFirstColumn="0" w:firstRowLastColumn="0" w:lastRowFirstColumn="0" w:lastRowLastColumn="0"/>
            </w:pPr>
            <w:r>
              <w:t>Predictor–predictand pairs</w:t>
            </w:r>
          </w:p>
        </w:tc>
        <w:tc>
          <w:tcPr>
            <w:tcW w:w="0" w:type="auto"/>
            <w:hideMark/>
          </w:tcPr>
          <w:p w14:paraId="0D977C52" w14:textId="77777777" w:rsidR="00E70D24" w:rsidRDefault="00E70D24" w:rsidP="00AB4829">
            <w:pPr>
              <w:cnfStyle w:val="000000000000" w:firstRow="0" w:lastRow="0" w:firstColumn="0" w:lastColumn="0" w:oddVBand="0" w:evenVBand="0" w:oddHBand="0" w:evenHBand="0" w:firstRowFirstColumn="0" w:firstRowLastColumn="0" w:lastRowFirstColumn="0" w:lastRowLastColumn="0"/>
            </w:pPr>
            <w:r>
              <w:t>Large training datasets</w:t>
            </w:r>
          </w:p>
        </w:tc>
      </w:tr>
      <w:tr w:rsidR="00E70D24" w14:paraId="7E085B9F" w14:textId="77777777" w:rsidTr="0093419A">
        <w:tc>
          <w:tcPr>
            <w:cnfStyle w:val="001000000000" w:firstRow="0" w:lastRow="0" w:firstColumn="1" w:lastColumn="0" w:oddVBand="0" w:evenVBand="0" w:oddHBand="0" w:evenHBand="0" w:firstRowFirstColumn="0" w:firstRowLastColumn="0" w:lastRowFirstColumn="0" w:lastRowLastColumn="0"/>
            <w:tcW w:w="0" w:type="auto"/>
            <w:hideMark/>
          </w:tcPr>
          <w:p w14:paraId="3220A5C0" w14:textId="77777777" w:rsidR="00E70D24" w:rsidRDefault="00E70D24" w:rsidP="00AB4829">
            <w:r>
              <w:rPr>
                <w:rStyle w:val="Strong"/>
              </w:rPr>
              <w:t>Ability to capture extremes</w:t>
            </w:r>
          </w:p>
        </w:tc>
        <w:tc>
          <w:tcPr>
            <w:tcW w:w="0" w:type="auto"/>
            <w:hideMark/>
          </w:tcPr>
          <w:p w14:paraId="298392D7" w14:textId="77777777" w:rsidR="00E70D24" w:rsidRDefault="00E70D24" w:rsidP="00AB4829">
            <w:pPr>
              <w:cnfStyle w:val="000000000000" w:firstRow="0" w:lastRow="0" w:firstColumn="0" w:lastColumn="0" w:oddVBand="0" w:evenVBand="0" w:oddHBand="0" w:evenHBand="0" w:firstRowFirstColumn="0" w:firstRowLastColumn="0" w:lastRowFirstColumn="0" w:lastRowLastColumn="0"/>
            </w:pPr>
            <w:r>
              <w:t>Excellent</w:t>
            </w:r>
          </w:p>
        </w:tc>
        <w:tc>
          <w:tcPr>
            <w:tcW w:w="0" w:type="auto"/>
            <w:hideMark/>
          </w:tcPr>
          <w:p w14:paraId="37A4FEA6" w14:textId="77777777" w:rsidR="00E70D24" w:rsidRDefault="00E70D24" w:rsidP="00AB4829">
            <w:pPr>
              <w:cnfStyle w:val="000000000000" w:firstRow="0" w:lastRow="0" w:firstColumn="0" w:lastColumn="0" w:oddVBand="0" w:evenVBand="0" w:oddHBand="0" w:evenHBand="0" w:firstRowFirstColumn="0" w:firstRowLastColumn="0" w:lastRowFirstColumn="0" w:lastRowLastColumn="0"/>
            </w:pPr>
            <w:r>
              <w:t>Excellent (for events)</w:t>
            </w:r>
          </w:p>
        </w:tc>
        <w:tc>
          <w:tcPr>
            <w:tcW w:w="0" w:type="auto"/>
            <w:hideMark/>
          </w:tcPr>
          <w:p w14:paraId="4FC9F727" w14:textId="77777777" w:rsidR="00E70D24" w:rsidRDefault="00E70D24" w:rsidP="00AB4829">
            <w:pPr>
              <w:cnfStyle w:val="000000000000" w:firstRow="0" w:lastRow="0" w:firstColumn="0" w:lastColumn="0" w:oddVBand="0" w:evenVBand="0" w:oddHBand="0" w:evenHBand="0" w:firstRowFirstColumn="0" w:firstRowLastColumn="0" w:lastRowFirstColumn="0" w:lastRowLastColumn="0"/>
            </w:pPr>
            <w:r>
              <w:t>Good</w:t>
            </w:r>
          </w:p>
        </w:tc>
        <w:tc>
          <w:tcPr>
            <w:tcW w:w="0" w:type="auto"/>
            <w:hideMark/>
          </w:tcPr>
          <w:p w14:paraId="121B6CA3" w14:textId="77777777" w:rsidR="00E70D24" w:rsidRDefault="00E70D24" w:rsidP="00AB4829">
            <w:pPr>
              <w:cnfStyle w:val="000000000000" w:firstRow="0" w:lastRow="0" w:firstColumn="0" w:lastColumn="0" w:oddVBand="0" w:evenVBand="0" w:oddHBand="0" w:evenHBand="0" w:firstRowFirstColumn="0" w:firstRowLastColumn="0" w:lastRowFirstColumn="0" w:lastRowLastColumn="0"/>
            </w:pPr>
            <w:r>
              <w:t>Moderate (surface-driven)</w:t>
            </w:r>
          </w:p>
        </w:tc>
        <w:tc>
          <w:tcPr>
            <w:tcW w:w="0" w:type="auto"/>
            <w:hideMark/>
          </w:tcPr>
          <w:p w14:paraId="4123580C" w14:textId="77777777" w:rsidR="00E70D24" w:rsidRDefault="00E70D24" w:rsidP="00AB4829">
            <w:pPr>
              <w:cnfStyle w:val="000000000000" w:firstRow="0" w:lastRow="0" w:firstColumn="0" w:lastColumn="0" w:oddVBand="0" w:evenVBand="0" w:oddHBand="0" w:evenHBand="0" w:firstRowFirstColumn="0" w:firstRowLastColumn="0" w:lastRowFirstColumn="0" w:lastRowLastColumn="0"/>
            </w:pPr>
            <w:r>
              <w:t>Limited</w:t>
            </w:r>
          </w:p>
        </w:tc>
        <w:tc>
          <w:tcPr>
            <w:tcW w:w="0" w:type="auto"/>
            <w:hideMark/>
          </w:tcPr>
          <w:p w14:paraId="03F58BFF" w14:textId="77777777" w:rsidR="00E70D24" w:rsidRDefault="00E70D24" w:rsidP="00AB4829">
            <w:pPr>
              <w:cnfStyle w:val="000000000000" w:firstRow="0" w:lastRow="0" w:firstColumn="0" w:lastColumn="0" w:oddVBand="0" w:evenVBand="0" w:oddHBand="0" w:evenHBand="0" w:firstRowFirstColumn="0" w:firstRowLastColumn="0" w:lastRowFirstColumn="0" w:lastRowLastColumn="0"/>
            </w:pPr>
            <w:r>
              <w:t>Good (pattern recognition)</w:t>
            </w:r>
          </w:p>
        </w:tc>
      </w:tr>
      <w:tr w:rsidR="00E70D24" w14:paraId="36C8C40E" w14:textId="77777777" w:rsidTr="0093419A">
        <w:tc>
          <w:tcPr>
            <w:cnfStyle w:val="001000000000" w:firstRow="0" w:lastRow="0" w:firstColumn="1" w:lastColumn="0" w:oddVBand="0" w:evenVBand="0" w:oddHBand="0" w:evenHBand="0" w:firstRowFirstColumn="0" w:firstRowLastColumn="0" w:lastRowFirstColumn="0" w:lastRowLastColumn="0"/>
            <w:tcW w:w="0" w:type="auto"/>
            <w:hideMark/>
          </w:tcPr>
          <w:p w14:paraId="21AFE67D" w14:textId="77777777" w:rsidR="00E70D24" w:rsidRDefault="00E70D24" w:rsidP="00AB4829">
            <w:r>
              <w:rPr>
                <w:rStyle w:val="Strong"/>
              </w:rPr>
              <w:t>Scalability (multi-city, long runs)</w:t>
            </w:r>
          </w:p>
        </w:tc>
        <w:tc>
          <w:tcPr>
            <w:tcW w:w="0" w:type="auto"/>
            <w:hideMark/>
          </w:tcPr>
          <w:p w14:paraId="742A0952" w14:textId="77777777" w:rsidR="00E70D24" w:rsidRDefault="00E70D24" w:rsidP="00AB4829">
            <w:pPr>
              <w:cnfStyle w:val="000000000000" w:firstRow="0" w:lastRow="0" w:firstColumn="0" w:lastColumn="0" w:oddVBand="0" w:evenVBand="0" w:oddHBand="0" w:evenHBand="0" w:firstRowFirstColumn="0" w:firstRowLastColumn="0" w:lastRowFirstColumn="0" w:lastRowLastColumn="0"/>
            </w:pPr>
            <w:r>
              <w:t>Low</w:t>
            </w:r>
          </w:p>
        </w:tc>
        <w:tc>
          <w:tcPr>
            <w:tcW w:w="0" w:type="auto"/>
            <w:hideMark/>
          </w:tcPr>
          <w:p w14:paraId="0BB48CAC" w14:textId="77777777" w:rsidR="00E70D24" w:rsidRDefault="00E70D24" w:rsidP="00AB4829">
            <w:pPr>
              <w:cnfStyle w:val="000000000000" w:firstRow="0" w:lastRow="0" w:firstColumn="0" w:lastColumn="0" w:oddVBand="0" w:evenVBand="0" w:oddHBand="0" w:evenHBand="0" w:firstRowFirstColumn="0" w:firstRowLastColumn="0" w:lastRowFirstColumn="0" w:lastRowLastColumn="0"/>
            </w:pPr>
            <w:r>
              <w:t>Low–moderate</w:t>
            </w:r>
          </w:p>
        </w:tc>
        <w:tc>
          <w:tcPr>
            <w:tcW w:w="0" w:type="auto"/>
            <w:hideMark/>
          </w:tcPr>
          <w:p w14:paraId="28855BF5" w14:textId="77777777" w:rsidR="00E70D24" w:rsidRDefault="00E70D24" w:rsidP="00AB4829">
            <w:pPr>
              <w:cnfStyle w:val="000000000000" w:firstRow="0" w:lastRow="0" w:firstColumn="0" w:lastColumn="0" w:oddVBand="0" w:evenVBand="0" w:oddHBand="0" w:evenHBand="0" w:firstRowFirstColumn="0" w:firstRowLastColumn="0" w:lastRowFirstColumn="0" w:lastRowLastColumn="0"/>
            </w:pPr>
            <w:r>
              <w:t>High</w:t>
            </w:r>
          </w:p>
        </w:tc>
        <w:tc>
          <w:tcPr>
            <w:tcW w:w="0" w:type="auto"/>
            <w:hideMark/>
          </w:tcPr>
          <w:p w14:paraId="1F2585B2" w14:textId="77777777" w:rsidR="00E70D24" w:rsidRDefault="00E70D24" w:rsidP="00AB4829">
            <w:pPr>
              <w:cnfStyle w:val="000000000000" w:firstRow="0" w:lastRow="0" w:firstColumn="0" w:lastColumn="0" w:oddVBand="0" w:evenVBand="0" w:oddHBand="0" w:evenHBand="0" w:firstRowFirstColumn="0" w:firstRowLastColumn="0" w:lastRowFirstColumn="0" w:lastRowLastColumn="0"/>
            </w:pPr>
            <w:r>
              <w:t>Moderate</w:t>
            </w:r>
          </w:p>
        </w:tc>
        <w:tc>
          <w:tcPr>
            <w:tcW w:w="0" w:type="auto"/>
            <w:hideMark/>
          </w:tcPr>
          <w:p w14:paraId="7D86C046" w14:textId="77777777" w:rsidR="00E70D24" w:rsidRDefault="00E70D24" w:rsidP="00AB4829">
            <w:pPr>
              <w:cnfStyle w:val="000000000000" w:firstRow="0" w:lastRow="0" w:firstColumn="0" w:lastColumn="0" w:oddVBand="0" w:evenVBand="0" w:oddHBand="0" w:evenHBand="0" w:firstRowFirstColumn="0" w:firstRowLastColumn="0" w:lastRowFirstColumn="0" w:lastRowLastColumn="0"/>
            </w:pPr>
            <w:r>
              <w:t>Very high</w:t>
            </w:r>
          </w:p>
        </w:tc>
        <w:tc>
          <w:tcPr>
            <w:tcW w:w="0" w:type="auto"/>
            <w:hideMark/>
          </w:tcPr>
          <w:p w14:paraId="358B29A1" w14:textId="77777777" w:rsidR="00E70D24" w:rsidRDefault="00E70D24" w:rsidP="00AB4829">
            <w:pPr>
              <w:cnfStyle w:val="000000000000" w:firstRow="0" w:lastRow="0" w:firstColumn="0" w:lastColumn="0" w:oddVBand="0" w:evenVBand="0" w:oddHBand="0" w:evenHBand="0" w:firstRowFirstColumn="0" w:firstRowLastColumn="0" w:lastRowFirstColumn="0" w:lastRowLastColumn="0"/>
            </w:pPr>
            <w:r>
              <w:t>High</w:t>
            </w:r>
          </w:p>
        </w:tc>
      </w:tr>
      <w:tr w:rsidR="00E70D24" w14:paraId="0AEB59D9" w14:textId="77777777" w:rsidTr="0093419A">
        <w:tc>
          <w:tcPr>
            <w:cnfStyle w:val="001000000000" w:firstRow="0" w:lastRow="0" w:firstColumn="1" w:lastColumn="0" w:oddVBand="0" w:evenVBand="0" w:oddHBand="0" w:evenHBand="0" w:firstRowFirstColumn="0" w:firstRowLastColumn="0" w:lastRowFirstColumn="0" w:lastRowLastColumn="0"/>
            <w:tcW w:w="0" w:type="auto"/>
            <w:hideMark/>
          </w:tcPr>
          <w:p w14:paraId="4F161A43" w14:textId="77777777" w:rsidR="00E70D24" w:rsidRDefault="00E70D24" w:rsidP="00AB4829">
            <w:r>
              <w:rPr>
                <w:rStyle w:val="Strong"/>
              </w:rPr>
              <w:t>Transparency &amp; interpretability</w:t>
            </w:r>
          </w:p>
        </w:tc>
        <w:tc>
          <w:tcPr>
            <w:tcW w:w="0" w:type="auto"/>
            <w:hideMark/>
          </w:tcPr>
          <w:p w14:paraId="1DFA59A1" w14:textId="77777777" w:rsidR="00E70D24" w:rsidRDefault="00E70D24" w:rsidP="00AB4829">
            <w:pPr>
              <w:cnfStyle w:val="000000000000" w:firstRow="0" w:lastRow="0" w:firstColumn="0" w:lastColumn="0" w:oddVBand="0" w:evenVBand="0" w:oddHBand="0" w:evenHBand="0" w:firstRowFirstColumn="0" w:firstRowLastColumn="0" w:lastRowFirstColumn="0" w:lastRowLastColumn="0"/>
            </w:pPr>
            <w:r>
              <w:t>High</w:t>
            </w:r>
          </w:p>
        </w:tc>
        <w:tc>
          <w:tcPr>
            <w:tcW w:w="0" w:type="auto"/>
            <w:hideMark/>
          </w:tcPr>
          <w:p w14:paraId="284D2E70" w14:textId="77777777" w:rsidR="00E70D24" w:rsidRDefault="00E70D24" w:rsidP="00AB4829">
            <w:pPr>
              <w:cnfStyle w:val="000000000000" w:firstRow="0" w:lastRow="0" w:firstColumn="0" w:lastColumn="0" w:oddVBand="0" w:evenVBand="0" w:oddHBand="0" w:evenHBand="0" w:firstRowFirstColumn="0" w:firstRowLastColumn="0" w:lastRowFirstColumn="0" w:lastRowLastColumn="0"/>
            </w:pPr>
            <w:r>
              <w:t>High</w:t>
            </w:r>
          </w:p>
        </w:tc>
        <w:tc>
          <w:tcPr>
            <w:tcW w:w="0" w:type="auto"/>
            <w:hideMark/>
          </w:tcPr>
          <w:p w14:paraId="33FB33F6" w14:textId="77777777" w:rsidR="00E70D24" w:rsidRDefault="00E70D24" w:rsidP="00AB4829">
            <w:pPr>
              <w:cnfStyle w:val="000000000000" w:firstRow="0" w:lastRow="0" w:firstColumn="0" w:lastColumn="0" w:oddVBand="0" w:evenVBand="0" w:oddHBand="0" w:evenHBand="0" w:firstRowFirstColumn="0" w:firstRowLastColumn="0" w:lastRowFirstColumn="0" w:lastRowLastColumn="0"/>
            </w:pPr>
            <w:r>
              <w:t>Moderate</w:t>
            </w:r>
          </w:p>
        </w:tc>
        <w:tc>
          <w:tcPr>
            <w:tcW w:w="0" w:type="auto"/>
            <w:hideMark/>
          </w:tcPr>
          <w:p w14:paraId="470543D3" w14:textId="77777777" w:rsidR="00E70D24" w:rsidRDefault="00E70D24" w:rsidP="00AB4829">
            <w:pPr>
              <w:cnfStyle w:val="000000000000" w:firstRow="0" w:lastRow="0" w:firstColumn="0" w:lastColumn="0" w:oddVBand="0" w:evenVBand="0" w:oddHBand="0" w:evenHBand="0" w:firstRowFirstColumn="0" w:firstRowLastColumn="0" w:lastRowFirstColumn="0" w:lastRowLastColumn="0"/>
            </w:pPr>
            <w:r>
              <w:t>High</w:t>
            </w:r>
          </w:p>
        </w:tc>
        <w:tc>
          <w:tcPr>
            <w:tcW w:w="0" w:type="auto"/>
            <w:hideMark/>
          </w:tcPr>
          <w:p w14:paraId="3007DF3A" w14:textId="77777777" w:rsidR="00E70D24" w:rsidRDefault="00E70D24" w:rsidP="00AB4829">
            <w:pPr>
              <w:cnfStyle w:val="000000000000" w:firstRow="0" w:lastRow="0" w:firstColumn="0" w:lastColumn="0" w:oddVBand="0" w:evenVBand="0" w:oddHBand="0" w:evenHBand="0" w:firstRowFirstColumn="0" w:firstRowLastColumn="0" w:lastRowFirstColumn="0" w:lastRowLastColumn="0"/>
            </w:pPr>
            <w:r>
              <w:t>High</w:t>
            </w:r>
          </w:p>
        </w:tc>
        <w:tc>
          <w:tcPr>
            <w:tcW w:w="0" w:type="auto"/>
            <w:hideMark/>
          </w:tcPr>
          <w:p w14:paraId="390B8B4A" w14:textId="77777777" w:rsidR="00E70D24" w:rsidRDefault="00E70D24" w:rsidP="00AB4829">
            <w:pPr>
              <w:cnfStyle w:val="000000000000" w:firstRow="0" w:lastRow="0" w:firstColumn="0" w:lastColumn="0" w:oddVBand="0" w:evenVBand="0" w:oddHBand="0" w:evenHBand="0" w:firstRowFirstColumn="0" w:firstRowLastColumn="0" w:lastRowFirstColumn="0" w:lastRowLastColumn="0"/>
            </w:pPr>
            <w:r>
              <w:t>Low–moderate</w:t>
            </w:r>
          </w:p>
        </w:tc>
      </w:tr>
      <w:tr w:rsidR="00E70D24" w14:paraId="599D4916" w14:textId="77777777" w:rsidTr="0093419A">
        <w:tc>
          <w:tcPr>
            <w:cnfStyle w:val="001000000000" w:firstRow="0" w:lastRow="0" w:firstColumn="1" w:lastColumn="0" w:oddVBand="0" w:evenVBand="0" w:oddHBand="0" w:evenHBand="0" w:firstRowFirstColumn="0" w:firstRowLastColumn="0" w:lastRowFirstColumn="0" w:lastRowLastColumn="0"/>
            <w:tcW w:w="0" w:type="auto"/>
            <w:hideMark/>
          </w:tcPr>
          <w:p w14:paraId="01E283A5" w14:textId="77777777" w:rsidR="00E70D24" w:rsidRDefault="00E70D24" w:rsidP="00AB4829">
            <w:r>
              <w:rPr>
                <w:rStyle w:val="Strong"/>
              </w:rPr>
              <w:t>Innovation potential</w:t>
            </w:r>
          </w:p>
        </w:tc>
        <w:tc>
          <w:tcPr>
            <w:tcW w:w="0" w:type="auto"/>
            <w:hideMark/>
          </w:tcPr>
          <w:p w14:paraId="69E1120D" w14:textId="77777777" w:rsidR="00E70D24" w:rsidRDefault="00E70D24" w:rsidP="00AB4829">
            <w:pPr>
              <w:cnfStyle w:val="000000000000" w:firstRow="0" w:lastRow="0" w:firstColumn="0" w:lastColumn="0" w:oddVBand="0" w:evenVBand="0" w:oddHBand="0" w:evenHBand="0" w:firstRowFirstColumn="0" w:firstRowLastColumn="0" w:lastRowFirstColumn="0" w:lastRowLastColumn="0"/>
            </w:pPr>
            <w:r>
              <w:t>Mature, well-established</w:t>
            </w:r>
          </w:p>
        </w:tc>
        <w:tc>
          <w:tcPr>
            <w:tcW w:w="0" w:type="auto"/>
            <w:hideMark/>
          </w:tcPr>
          <w:p w14:paraId="7A7E7701" w14:textId="77777777" w:rsidR="00E70D24" w:rsidRDefault="00E70D24" w:rsidP="00AB4829">
            <w:pPr>
              <w:cnfStyle w:val="000000000000" w:firstRow="0" w:lastRow="0" w:firstColumn="0" w:lastColumn="0" w:oddVBand="0" w:evenVBand="0" w:oddHBand="0" w:evenHBand="0" w:firstRowFirstColumn="0" w:firstRowLastColumn="0" w:lastRowFirstColumn="0" w:lastRowLastColumn="0"/>
            </w:pPr>
            <w:r>
              <w:t>Useful for attribution</w:t>
            </w:r>
          </w:p>
        </w:tc>
        <w:tc>
          <w:tcPr>
            <w:tcW w:w="0" w:type="auto"/>
            <w:hideMark/>
          </w:tcPr>
          <w:p w14:paraId="60A862FD" w14:textId="77777777" w:rsidR="00E70D24" w:rsidRDefault="00E70D24" w:rsidP="00AB4829">
            <w:pPr>
              <w:cnfStyle w:val="000000000000" w:firstRow="0" w:lastRow="0" w:firstColumn="0" w:lastColumn="0" w:oddVBand="0" w:evenVBand="0" w:oddHBand="0" w:evenHBand="0" w:firstRowFirstColumn="0" w:firstRowLastColumn="0" w:lastRowFirstColumn="0" w:lastRowLastColumn="0"/>
            </w:pPr>
            <w:r>
              <w:t>Hybrid flexibility</w:t>
            </w:r>
          </w:p>
        </w:tc>
        <w:tc>
          <w:tcPr>
            <w:tcW w:w="0" w:type="auto"/>
            <w:hideMark/>
          </w:tcPr>
          <w:p w14:paraId="36EA66E4" w14:textId="77777777" w:rsidR="00E70D24" w:rsidRDefault="00E70D24" w:rsidP="00AB4829">
            <w:pPr>
              <w:cnfStyle w:val="000000000000" w:firstRow="0" w:lastRow="0" w:firstColumn="0" w:lastColumn="0" w:oddVBand="0" w:evenVBand="0" w:oddHBand="0" w:evenHBand="0" w:firstRowFirstColumn="0" w:firstRowLastColumn="0" w:lastRowFirstColumn="0" w:lastRowLastColumn="0"/>
            </w:pPr>
            <w:r>
              <w:t>Novel for UHI/flux studies</w:t>
            </w:r>
          </w:p>
        </w:tc>
        <w:tc>
          <w:tcPr>
            <w:tcW w:w="0" w:type="auto"/>
            <w:hideMark/>
          </w:tcPr>
          <w:p w14:paraId="597A10A5" w14:textId="77777777" w:rsidR="00E70D24" w:rsidRDefault="00E70D24" w:rsidP="00AB4829">
            <w:pPr>
              <w:cnfStyle w:val="000000000000" w:firstRow="0" w:lastRow="0" w:firstColumn="0" w:lastColumn="0" w:oddVBand="0" w:evenVBand="0" w:oddHBand="0" w:evenHBand="0" w:firstRowFirstColumn="0" w:firstRowLastColumn="0" w:lastRowFirstColumn="0" w:lastRowLastColumn="0"/>
            </w:pPr>
            <w:r>
              <w:t>Widely applied</w:t>
            </w:r>
          </w:p>
        </w:tc>
        <w:tc>
          <w:tcPr>
            <w:tcW w:w="0" w:type="auto"/>
            <w:hideMark/>
          </w:tcPr>
          <w:p w14:paraId="3ADD5F49" w14:textId="77777777" w:rsidR="00E70D24" w:rsidRDefault="00E70D24" w:rsidP="00AB4829">
            <w:pPr>
              <w:cnfStyle w:val="000000000000" w:firstRow="0" w:lastRow="0" w:firstColumn="0" w:lastColumn="0" w:oddVBand="0" w:evenVBand="0" w:oddHBand="0" w:evenHBand="0" w:firstRowFirstColumn="0" w:firstRowLastColumn="0" w:lastRowFirstColumn="0" w:lastRowLastColumn="0"/>
            </w:pPr>
            <w:r>
              <w:t>Rapidly evolving, high potential</w:t>
            </w:r>
          </w:p>
        </w:tc>
      </w:tr>
    </w:tbl>
    <w:p w14:paraId="6D83119E" w14:textId="77777777" w:rsidR="0093419A" w:rsidRDefault="0093419A" w:rsidP="0093419A"/>
    <w:p w14:paraId="13909DC8" w14:textId="2162FCA5" w:rsidR="00E70D24" w:rsidRDefault="00E70D24" w:rsidP="0093419A">
      <w:r>
        <w:t xml:space="preserve">Several limitations must also be acknowledged. First, the computational requirements of dynamical modules remain substantial, restricting the feasibility of large ensemble or multi-decadal simulations at kilometre-scale resolution. While AI and statistical modules mitigate this cost, they cannot yet fully replicate the process fidelity of dynamical simulations. Second, </w:t>
      </w:r>
      <w:r>
        <w:rPr>
          <w:rStyle w:val="Strong"/>
        </w:rPr>
        <w:t>urban data availability and quality</w:t>
      </w:r>
      <w:r>
        <w:t xml:space="preserve"> remain a bottleneck. Many cities lack reliable inventories of land use, morphology, and anthropogenic heat emissions. Uncertainties in these inputs propagate into all downscaling modules, reducing confidence in </w:t>
      </w:r>
      <w:r>
        <w:lastRenderedPageBreak/>
        <w:t xml:space="preserve">results, especially for poorly monitored regions. Third, the system’s evaluation remains limited to proof-of-concept demonstrations. More comprehensive validation against multi-variable observational datasets, including surface flux measurements and urban climate networks, is necessary to establish the general performance of </w:t>
      </w:r>
      <w:proofErr w:type="spellStart"/>
      <w:r>
        <w:t>HiClimaX</w:t>
      </w:r>
      <w:proofErr w:type="spellEnd"/>
      <w:r>
        <w:t xml:space="preserve"> across different climates and scales.</w:t>
      </w:r>
    </w:p>
    <w:p w14:paraId="12A889DD" w14:textId="77777777" w:rsidR="00E70D24" w:rsidRDefault="00E70D24" w:rsidP="0093419A">
      <w:proofErr w:type="spellStart"/>
      <w:r>
        <w:t>HiClimaX</w:t>
      </w:r>
      <w:proofErr w:type="spellEnd"/>
      <w:r>
        <w:t xml:space="preserve"> opens several promising avenues for future work. Its </w:t>
      </w:r>
      <w:r>
        <w:rPr>
          <w:rStyle w:val="Strong"/>
        </w:rPr>
        <w:t>ensemble-based design</w:t>
      </w:r>
      <w:r>
        <w:t xml:space="preserve"> aligns with the objectives of the CORDEX initiative and ongoing efforts within the WCRP community to improve intercomparison of downscaling techniques. By providing a structured testbed, </w:t>
      </w:r>
      <w:proofErr w:type="spellStart"/>
      <w:r>
        <w:t>HiClimaX</w:t>
      </w:r>
      <w:proofErr w:type="spellEnd"/>
      <w:r>
        <w:t xml:space="preserve"> can contribute to benchmarking exercises and the development of best practices for urban climate downscaling. The integration of </w:t>
      </w:r>
      <w:r>
        <w:rPr>
          <w:rStyle w:val="Strong"/>
        </w:rPr>
        <w:t>AI-based methods</w:t>
      </w:r>
      <w:r>
        <w:t xml:space="preserve"> within a physically informed framework creates opportunities for hybrid modelling, such as machine learning emulators trained on dynamical simulations to accelerate ensemble generation. In addition, the modular structure of </w:t>
      </w:r>
      <w:proofErr w:type="spellStart"/>
      <w:r>
        <w:t>HiClimaX</w:t>
      </w:r>
      <w:proofErr w:type="spellEnd"/>
      <w:r>
        <w:t xml:space="preserve"> facilitates coupling with </w:t>
      </w:r>
      <w:r>
        <w:rPr>
          <w:rStyle w:val="Strong"/>
        </w:rPr>
        <w:t>urban digital twins</w:t>
      </w:r>
      <w:r>
        <w:t xml:space="preserve"> and decision-support platforms, where high-resolution climate inputs must be combined with socio-economic and infrastructural data. Finally, the open and transparent design of the system, including access to source code and processing routines, contributes to closing the reproducibility gap in complex climate modelling studies.</w:t>
      </w:r>
    </w:p>
    <w:p w14:paraId="66BD9795" w14:textId="77777777" w:rsidR="00E70D24" w:rsidRDefault="00E70D24" w:rsidP="00E70D24">
      <w:pPr>
        <w:pStyle w:val="Heading1"/>
        <w:rPr>
          <w:lang w:val="en-JP"/>
        </w:rPr>
      </w:pPr>
      <w:r>
        <w:t>6. Conclusions and Outlook</w:t>
      </w:r>
    </w:p>
    <w:p w14:paraId="126D2718" w14:textId="77777777" w:rsidR="00E70D24" w:rsidRDefault="00E70D24" w:rsidP="0093419A">
      <w:r>
        <w:t xml:space="preserve">This paper has introduced </w:t>
      </w:r>
      <w:proofErr w:type="spellStart"/>
      <w:r>
        <w:rPr>
          <w:rStyle w:val="Strong"/>
        </w:rPr>
        <w:t>HiClimaX</w:t>
      </w:r>
      <w:proofErr w:type="spellEnd"/>
      <w:r>
        <w:t>, a modular and multi-method framework for high-resolution climate downscaling. By integrating six distinct methodological families—dynamical, pseudo-global warming, statistical–dynamical, land-surface-physics-based, statistical, and AI-based approaches—</w:t>
      </w:r>
      <w:proofErr w:type="spellStart"/>
      <w:r>
        <w:t>HiClimaX</w:t>
      </w:r>
      <w:proofErr w:type="spellEnd"/>
      <w:r>
        <w:t xml:space="preserve"> provides the first comprehensive platform to systematically compare, combine, and evaluate downscaling methods within a single ensemble structure. The framework emphasizes transparency, reproducibility, and extensibility, thereby addressing long-standing gaps in the fragmented practice of urban climate downscaling.</w:t>
      </w:r>
    </w:p>
    <w:p w14:paraId="00816FC8" w14:textId="4AFD9573" w:rsidR="00E70D24" w:rsidRDefault="00E70D24" w:rsidP="0093419A">
      <w:r>
        <w:t xml:space="preserve">Proof-of-concept demonstrations in Tokyo, Ho Chi Minh City, and Brussels confirmed that </w:t>
      </w:r>
      <w:proofErr w:type="spellStart"/>
      <w:r>
        <w:t>HiClimaX</w:t>
      </w:r>
      <w:proofErr w:type="spellEnd"/>
      <w:r>
        <w:t xml:space="preserve"> can reproduce salient urban climate features and highlight inter-method divergences. These case studies illustrate both the complementarities and trade-offs among methods, underscoring the value of an ensemble-based approach for quantifying and communicating uncertainty.</w:t>
      </w:r>
    </w:p>
    <w:p w14:paraId="00A9F7A5" w14:textId="77777777" w:rsidR="00E70D24" w:rsidRDefault="00E70D24" w:rsidP="0093419A">
      <w:r>
        <w:t xml:space="preserve">Looking forward, several priorities emerge. First, comprehensive validation against multi-variable observational networks is required to establish the robustness of </w:t>
      </w:r>
      <w:proofErr w:type="spellStart"/>
      <w:r>
        <w:t>HiClimaX</w:t>
      </w:r>
      <w:proofErr w:type="spellEnd"/>
      <w:r>
        <w:t xml:space="preserve"> across different climates and urban forms. Second, further development of hybrid approaches, particularly the integration of AI methods with process-based models, offers opportunities to balance computational efficiency with physical realism. Third, expansion of the framework to additional cities and regions will allow broader intercomparison exercises, aligning </w:t>
      </w:r>
      <w:proofErr w:type="spellStart"/>
      <w:r>
        <w:t>HiClimaX</w:t>
      </w:r>
      <w:proofErr w:type="spellEnd"/>
      <w:r>
        <w:t xml:space="preserve"> with the objectives of CORDEX and other WCRP initiatives. Finally, the open-source design of </w:t>
      </w:r>
      <w:proofErr w:type="spellStart"/>
      <w:r>
        <w:t>HiClimaX</w:t>
      </w:r>
      <w:proofErr w:type="spellEnd"/>
      <w:r>
        <w:t xml:space="preserve"> provides a foundation for coupling with digital twin platforms and urban climate services, supporting more actionable climate information for adaptation and resilience planning.</w:t>
      </w:r>
    </w:p>
    <w:p w14:paraId="138E19F6" w14:textId="77777777" w:rsidR="00E70D24" w:rsidRDefault="00E70D24" w:rsidP="0093419A">
      <w:r>
        <w:lastRenderedPageBreak/>
        <w:t xml:space="preserve">In summary, </w:t>
      </w:r>
      <w:proofErr w:type="spellStart"/>
      <w:r>
        <w:t>HiClimaX</w:t>
      </w:r>
      <w:proofErr w:type="spellEnd"/>
      <w:r>
        <w:t xml:space="preserve"> represents a step change in urban climate modelling methodology: from isolated and method-specific applications toward a unified, transparent, and ensemble-based framework. Its continued development and application will strengthen the credibility, comparability, and accessibility of high-resolution urban climate projections, advancing both scientific understanding and their use in practice.</w:t>
      </w:r>
    </w:p>
    <w:p w14:paraId="4D86A700" w14:textId="5EE7C64B" w:rsidR="00E70D24" w:rsidRDefault="00E70D24" w:rsidP="0093419A">
      <w:pPr>
        <w:pStyle w:val="Heading1"/>
      </w:pPr>
      <w:r>
        <w:t>Code and Data Availability</w:t>
      </w:r>
    </w:p>
    <w:p w14:paraId="41C19822" w14:textId="77777777" w:rsidR="00E70D24" w:rsidRDefault="00E70D24" w:rsidP="00E70D24">
      <w:pPr>
        <w:pStyle w:val="NormalWeb"/>
        <w:numPr>
          <w:ilvl w:val="0"/>
          <w:numId w:val="4"/>
        </w:numPr>
      </w:pPr>
      <w:r>
        <w:t>links (</w:t>
      </w:r>
      <w:proofErr w:type="spellStart"/>
      <w:r>
        <w:t>Zenodo</w:t>
      </w:r>
      <w:proofErr w:type="spellEnd"/>
      <w:r>
        <w:t>/GitHub).</w:t>
      </w:r>
    </w:p>
    <w:p w14:paraId="3AF62C84" w14:textId="77777777" w:rsidR="00E70D24" w:rsidRDefault="00E70D24" w:rsidP="00E70D24">
      <w:pPr>
        <w:pStyle w:val="NormalWeb"/>
        <w:numPr>
          <w:ilvl w:val="0"/>
          <w:numId w:val="4"/>
        </w:numPr>
      </w:pPr>
      <w:r>
        <w:t>Details on datasets used.</w:t>
      </w:r>
    </w:p>
    <w:p w14:paraId="11168777" w14:textId="2D28D491" w:rsidR="00E70D24" w:rsidRDefault="00E70D24" w:rsidP="0093419A">
      <w:pPr>
        <w:pStyle w:val="Heading1"/>
      </w:pPr>
      <w:r>
        <w:t>Author Contributions</w:t>
      </w:r>
    </w:p>
    <w:p w14:paraId="2857ACF5" w14:textId="77777777" w:rsidR="00E70D24" w:rsidRDefault="00E70D24" w:rsidP="00E70D24"/>
    <w:p w14:paraId="46930CD8" w14:textId="1B9D9DB5" w:rsidR="00E70D24" w:rsidRDefault="00E70D24" w:rsidP="0093419A">
      <w:pPr>
        <w:pStyle w:val="Heading1"/>
      </w:pPr>
      <w:r>
        <w:t>Competing Interests</w:t>
      </w:r>
    </w:p>
    <w:p w14:paraId="1CED1A78" w14:textId="77777777" w:rsidR="00E70D24" w:rsidRDefault="00E70D24" w:rsidP="00E70D24"/>
    <w:p w14:paraId="4F1D3BD1" w14:textId="2B3E9973" w:rsidR="00E70D24" w:rsidRDefault="00E70D24" w:rsidP="0093419A">
      <w:pPr>
        <w:pStyle w:val="Heading1"/>
      </w:pPr>
      <w:r>
        <w:t>Acknowledgements</w:t>
      </w:r>
    </w:p>
    <w:p w14:paraId="2F8CB30B" w14:textId="77777777" w:rsidR="00E70D24" w:rsidRDefault="00E70D24" w:rsidP="00E70D24">
      <w:pPr>
        <w:pStyle w:val="NormalWeb"/>
      </w:pPr>
      <w:r>
        <w:rPr>
          <w:rStyle w:val="Emphasis"/>
        </w:rPr>
        <w:t>(funding, collaborations, institutions)</w:t>
      </w:r>
    </w:p>
    <w:p w14:paraId="3E9BB729" w14:textId="77777777" w:rsidR="00200B97" w:rsidRDefault="00200B97" w:rsidP="00200B97"/>
    <w:p w14:paraId="01B83EF8" w14:textId="77777777" w:rsidR="00200B97" w:rsidRDefault="00200B97" w:rsidP="00200B97">
      <w:r>
        <w:rPr>
          <w:noProof/>
        </w:rPr>
        <w:lastRenderedPageBreak/>
        <w:drawing>
          <wp:inline distT="0" distB="0" distL="0" distR="0" wp14:anchorId="0268E1A5" wp14:editId="21DF2E5F">
            <wp:extent cx="3926493" cy="3160758"/>
            <wp:effectExtent l="0" t="0" r="0" b="1905"/>
            <wp:docPr id="3" name="Picture 3"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3947133" cy="3177373"/>
                    </a:xfrm>
                    <a:prstGeom prst="rect">
                      <a:avLst/>
                    </a:prstGeom>
                  </pic:spPr>
                </pic:pic>
              </a:graphicData>
            </a:graphic>
          </wp:inline>
        </w:drawing>
      </w:r>
    </w:p>
    <w:p w14:paraId="145455B6" w14:textId="77777777" w:rsidR="00200B97" w:rsidRDefault="00200B97" w:rsidP="00200B97">
      <w:pPr>
        <w:pStyle w:val="Caption"/>
      </w:pPr>
      <w:r>
        <w:t xml:space="preserve">Figure </w:t>
      </w:r>
      <w:fldSimple w:instr=" SEQ Figure \* ARABIC ">
        <w:r>
          <w:rPr>
            <w:noProof/>
          </w:rPr>
          <w:t>1</w:t>
        </w:r>
      </w:fldSimple>
      <w:r>
        <w:t xml:space="preserve">: </w:t>
      </w:r>
      <w:r w:rsidRPr="00041A84">
        <w:t>An example for accurate data representation &amp; universal readability of figures</w:t>
      </w:r>
      <w:r>
        <w:t>.</w:t>
      </w:r>
    </w:p>
    <w:p w14:paraId="5C852D33" w14:textId="77777777" w:rsidR="00200B97" w:rsidRDefault="00200B97" w:rsidP="00200B97"/>
    <w:p w14:paraId="5300A154" w14:textId="77777777" w:rsidR="00C26311" w:rsidRDefault="00F5258E" w:rsidP="00F5258E">
      <w:pPr>
        <w:pStyle w:val="Heading1"/>
      </w:pPr>
      <w:r>
        <w:t>References</w:t>
      </w:r>
    </w:p>
    <w:p w14:paraId="580B0443" w14:textId="77777777" w:rsidR="0093419A" w:rsidRPr="0093419A" w:rsidRDefault="00E70D24" w:rsidP="0093419A">
      <w:pPr>
        <w:pStyle w:val="Bibliography"/>
        <w:rPr>
          <w:lang w:val="en-US"/>
        </w:rPr>
      </w:pPr>
      <w:r>
        <w:fldChar w:fldCharType="begin"/>
      </w:r>
      <w:r>
        <w:instrText xml:space="preserve"> ADDIN ZOTERO_BIBL {"uncited":[],"omitted":[],"custom":[]} CSL_BIBLIOGRAPHY </w:instrText>
      </w:r>
      <w:r>
        <w:fldChar w:fldCharType="separate"/>
      </w:r>
      <w:r w:rsidR="0093419A" w:rsidRPr="0093419A">
        <w:rPr>
          <w:lang w:val="en-US"/>
        </w:rPr>
        <w:t xml:space="preserve">Devadarshini E, Geethalakshmi V, McDermid SP, Bhuvaneswari K, Mohan Kumar S, Sathyamoorthy NK, Senthilnathan S, Senthilraja K, Anandhi V. 2025. A systematic review of climate downscaling and extremes in Coupled Model Intercomparison Project 6 (CMIP6). </w:t>
      </w:r>
      <w:r w:rsidR="0093419A" w:rsidRPr="0093419A">
        <w:rPr>
          <w:i/>
          <w:iCs/>
          <w:lang w:val="en-US"/>
        </w:rPr>
        <w:t>Environmental Development</w:t>
      </w:r>
      <w:r w:rsidR="0093419A" w:rsidRPr="0093419A">
        <w:rPr>
          <w:lang w:val="en-US"/>
        </w:rPr>
        <w:t>, 56: 101280. https://doi.org/10.1016/j.envdev.2025.101280.</w:t>
      </w:r>
    </w:p>
    <w:p w14:paraId="39AF55A2" w14:textId="77777777" w:rsidR="0093419A" w:rsidRPr="0093419A" w:rsidRDefault="0093419A" w:rsidP="0093419A">
      <w:pPr>
        <w:pStyle w:val="Bibliography"/>
        <w:rPr>
          <w:lang w:val="en-US"/>
        </w:rPr>
      </w:pPr>
      <w:r w:rsidRPr="0093419A">
        <w:rPr>
          <w:lang w:val="en-US"/>
        </w:rPr>
        <w:t xml:space="preserve">Xue L, Doan Q-V, Kusaka H, He C, Chen F. 2025. Land-surface-physics-based downscaling versus conventional dynamical downscaling for high-resolution urban climate change information: The case study of two cities. </w:t>
      </w:r>
      <w:r w:rsidRPr="0093419A">
        <w:rPr>
          <w:i/>
          <w:iCs/>
          <w:lang w:val="en-US"/>
        </w:rPr>
        <w:t>Urban Climate</w:t>
      </w:r>
      <w:r w:rsidRPr="0093419A">
        <w:rPr>
          <w:lang w:val="en-US"/>
        </w:rPr>
        <w:t>, 59: 102228. https://doi.org/10.1016/j.uclim.2024.102228.</w:t>
      </w:r>
    </w:p>
    <w:p w14:paraId="1674F2C8" w14:textId="77777777" w:rsidR="0093419A" w:rsidRPr="0093419A" w:rsidRDefault="0093419A" w:rsidP="0093419A">
      <w:pPr>
        <w:pStyle w:val="Bibliography"/>
        <w:rPr>
          <w:lang w:val="en-US"/>
        </w:rPr>
      </w:pPr>
      <w:r w:rsidRPr="0093419A">
        <w:rPr>
          <w:lang w:val="en-US"/>
        </w:rPr>
        <w:t xml:space="preserve">Xue L, Doan Q-V, Kusaka H, He C, Chen F. 2024. Insights Into Urban Heat Island and Heat Waves Synergies Revealed by a Land-Surface-Physics-Based Downscaling Method. </w:t>
      </w:r>
      <w:r w:rsidRPr="0093419A">
        <w:rPr>
          <w:i/>
          <w:iCs/>
          <w:lang w:val="en-US"/>
        </w:rPr>
        <w:t>Journal of Geophysical Research: Atmospheres</w:t>
      </w:r>
      <w:r w:rsidRPr="0093419A">
        <w:rPr>
          <w:lang w:val="en-US"/>
        </w:rPr>
        <w:t>, 129(13): e2023JD040531. https://doi.org/10.1029/2023JD040531.</w:t>
      </w:r>
    </w:p>
    <w:p w14:paraId="1F92AEB6" w14:textId="77777777" w:rsidR="0093419A" w:rsidRPr="0093419A" w:rsidRDefault="0093419A" w:rsidP="0093419A">
      <w:pPr>
        <w:pStyle w:val="Bibliography"/>
        <w:rPr>
          <w:lang w:val="en-US"/>
        </w:rPr>
      </w:pPr>
      <w:r w:rsidRPr="0093419A">
        <w:rPr>
          <w:lang w:val="en-US"/>
        </w:rPr>
        <w:t xml:space="preserve">Lafferty DC, Sriver RL. 2023. Downscaling and bias-correction contribute considerable uncertainty to local climate projections in CMIP6. </w:t>
      </w:r>
      <w:r w:rsidRPr="0093419A">
        <w:rPr>
          <w:i/>
          <w:iCs/>
          <w:lang w:val="en-US"/>
        </w:rPr>
        <w:t>npj Climate and Atmospheric Science</w:t>
      </w:r>
      <w:r w:rsidRPr="0093419A">
        <w:rPr>
          <w:lang w:val="en-US"/>
        </w:rPr>
        <w:t>. Nature Publishing Group, 6(1): 158. https://doi.org/10.1038/s41612-023-00486-0.</w:t>
      </w:r>
    </w:p>
    <w:p w14:paraId="59453D9A" w14:textId="77777777" w:rsidR="0093419A" w:rsidRPr="0093419A" w:rsidRDefault="0093419A" w:rsidP="0093419A">
      <w:pPr>
        <w:pStyle w:val="Bibliography"/>
        <w:rPr>
          <w:lang w:val="en-US"/>
        </w:rPr>
      </w:pPr>
      <w:r w:rsidRPr="0093419A">
        <w:rPr>
          <w:lang w:val="en-US"/>
        </w:rPr>
        <w:t xml:space="preserve">Mishra AK, Jangir B, Strobach E. 2023. Does Increasing Climate Model Horizontal Resolution Be Beneficial for the Mediterranean Region?: Multimodel Evaluation Framework for High-Resolution Model Intercomparison Project. </w:t>
      </w:r>
      <w:r w:rsidRPr="0093419A">
        <w:rPr>
          <w:i/>
          <w:iCs/>
          <w:lang w:val="en-US"/>
        </w:rPr>
        <w:t>Journal of Geophysical Research: Atmospheres</w:t>
      </w:r>
      <w:r w:rsidRPr="0093419A">
        <w:rPr>
          <w:lang w:val="en-US"/>
        </w:rPr>
        <w:t>, 128(2): e2022JD037812. https://doi.org/10.1029/2022JD037812.</w:t>
      </w:r>
    </w:p>
    <w:p w14:paraId="505933B5" w14:textId="77777777" w:rsidR="0093419A" w:rsidRPr="0093419A" w:rsidRDefault="0093419A" w:rsidP="0093419A">
      <w:pPr>
        <w:pStyle w:val="Bibliography"/>
        <w:rPr>
          <w:lang w:val="en-US"/>
        </w:rPr>
      </w:pPr>
      <w:r w:rsidRPr="0093419A">
        <w:rPr>
          <w:lang w:val="en-US"/>
        </w:rPr>
        <w:lastRenderedPageBreak/>
        <w:t xml:space="preserve">Doan Q-V, Chen F, Asano Y, Gu Y, Nishi A, Kusaka H, Niyogi D. 2022a. Causes for Asymmetric Warming of Sub-Diurnal Temperature Responding to Global Warming. </w:t>
      </w:r>
      <w:r w:rsidRPr="0093419A">
        <w:rPr>
          <w:i/>
          <w:iCs/>
          <w:lang w:val="en-US"/>
        </w:rPr>
        <w:t>Geophysical Research Letters</w:t>
      </w:r>
      <w:r w:rsidRPr="0093419A">
        <w:rPr>
          <w:lang w:val="en-US"/>
        </w:rPr>
        <w:t>, 49(20): e2022GL100029. https://doi.org/10.1029/2022GL100029.</w:t>
      </w:r>
    </w:p>
    <w:p w14:paraId="09217CC6" w14:textId="77777777" w:rsidR="0093419A" w:rsidRPr="0093419A" w:rsidRDefault="0093419A" w:rsidP="0093419A">
      <w:pPr>
        <w:pStyle w:val="Bibliography"/>
        <w:rPr>
          <w:lang w:val="en-US"/>
        </w:rPr>
      </w:pPr>
      <w:r w:rsidRPr="0093419A">
        <w:rPr>
          <w:lang w:val="en-US"/>
        </w:rPr>
        <w:t xml:space="preserve">Doan Q-V, Chen F, Kusaka H, Dipankar A, Khan A, Hamdi R, Roth M, Niyogi D. 2022b. Increased Risk of Extreme Precipitation Over an Urban Agglomeration With Future Global Warming. </w:t>
      </w:r>
      <w:r w:rsidRPr="0093419A">
        <w:rPr>
          <w:i/>
          <w:iCs/>
          <w:lang w:val="en-US"/>
        </w:rPr>
        <w:t>Earth’s Future</w:t>
      </w:r>
      <w:r w:rsidRPr="0093419A">
        <w:rPr>
          <w:lang w:val="en-US"/>
        </w:rPr>
        <w:t>, 10(6): e2021EF002563. https://doi.org/10.1029/2021EF002563.</w:t>
      </w:r>
    </w:p>
    <w:p w14:paraId="64BC7F7C" w14:textId="77777777" w:rsidR="0093419A" w:rsidRPr="0093419A" w:rsidRDefault="0093419A" w:rsidP="0093419A">
      <w:pPr>
        <w:pStyle w:val="Bibliography"/>
        <w:rPr>
          <w:lang w:val="en-US"/>
        </w:rPr>
      </w:pPr>
      <w:r w:rsidRPr="0093419A">
        <w:rPr>
          <w:lang w:val="en-US"/>
        </w:rPr>
        <w:t xml:space="preserve">Doan Q-V, Chen F, Kusaka H, Wang J, Kajino M, Takemi T. 2022c. Identifying a New Normal in Extreme Precipitation at a City Scale Under Warmer Climate Regimes: A Case Study of the Tokyo Metropolitan Area, Japan. </w:t>
      </w:r>
      <w:r w:rsidRPr="0093419A">
        <w:rPr>
          <w:i/>
          <w:iCs/>
          <w:lang w:val="en-US"/>
        </w:rPr>
        <w:t>Journal of Geophysical Research: Atmospheres</w:t>
      </w:r>
      <w:r w:rsidRPr="0093419A">
        <w:rPr>
          <w:lang w:val="en-US"/>
        </w:rPr>
        <w:t>, 127(21): e2022JD036810. https://doi.org/10.1029/2022JD036810.</w:t>
      </w:r>
    </w:p>
    <w:p w14:paraId="2E73A3CC" w14:textId="77777777" w:rsidR="0093419A" w:rsidRPr="0093419A" w:rsidRDefault="0093419A" w:rsidP="0093419A">
      <w:pPr>
        <w:pStyle w:val="Bibliography"/>
        <w:rPr>
          <w:lang w:val="en-US"/>
        </w:rPr>
      </w:pPr>
      <w:r w:rsidRPr="0093419A">
        <w:rPr>
          <w:lang w:val="en-US"/>
        </w:rPr>
        <w:t>IPCC AR6. 2022. AR6 Synthesis Report: Climate Change 2022 — IPCC. .</w:t>
      </w:r>
    </w:p>
    <w:p w14:paraId="255F843B" w14:textId="77777777" w:rsidR="0093419A" w:rsidRPr="0093419A" w:rsidRDefault="0093419A" w:rsidP="0093419A">
      <w:pPr>
        <w:pStyle w:val="Bibliography"/>
        <w:rPr>
          <w:lang w:val="en-US"/>
        </w:rPr>
      </w:pPr>
      <w:r w:rsidRPr="0093419A">
        <w:rPr>
          <w:lang w:val="en-US"/>
        </w:rPr>
        <w:t>Doan Q-V, Chen F, Kusaka H, Khan A, Dipankar A, Hamdi R, Gupta A, Niyogi D. 2021. Response of Extreme Convective Rainfall in a Tropical City to the Future Warming Climate. paper presented at the AOGS 2021 18th Annual Meeting.</w:t>
      </w:r>
    </w:p>
    <w:p w14:paraId="5C608AF9" w14:textId="77777777" w:rsidR="0093419A" w:rsidRPr="0093419A" w:rsidRDefault="0093419A" w:rsidP="0093419A">
      <w:pPr>
        <w:pStyle w:val="Bibliography"/>
        <w:rPr>
          <w:lang w:val="en-US"/>
        </w:rPr>
      </w:pPr>
      <w:r w:rsidRPr="0093419A">
        <w:rPr>
          <w:lang w:val="en-US"/>
        </w:rPr>
        <w:t xml:space="preserve">Tabari H, Paz SM, Buekenhout D, Willems P. 2021. Comparison of statistical downscaling methods for climate change impact analysis on precipitation-driven drought. </w:t>
      </w:r>
      <w:r w:rsidRPr="0093419A">
        <w:rPr>
          <w:i/>
          <w:iCs/>
          <w:lang w:val="en-US"/>
        </w:rPr>
        <w:t>Hydrology and Earth System Sciences</w:t>
      </w:r>
      <w:r w:rsidRPr="0093419A">
        <w:rPr>
          <w:lang w:val="en-US"/>
        </w:rPr>
        <w:t>. Copernicus GmbH, 25(6): 3493–3517. https://doi.org/10.5194/hess-25-3493-2021.</w:t>
      </w:r>
    </w:p>
    <w:p w14:paraId="7EC04D7E" w14:textId="77777777" w:rsidR="0093419A" w:rsidRPr="0093419A" w:rsidRDefault="0093419A" w:rsidP="0093419A">
      <w:pPr>
        <w:pStyle w:val="Bibliography"/>
        <w:rPr>
          <w:lang w:val="en-US"/>
        </w:rPr>
      </w:pPr>
      <w:r w:rsidRPr="0093419A">
        <w:rPr>
          <w:lang w:val="en-US"/>
        </w:rPr>
        <w:t xml:space="preserve">Iles CE, Vautard R, Strachan J, Joussaume S, Eggen BR, Hewitt CD. 2020. The benefits of increasing resolution in global and regional climate simulations for European climate extremes. </w:t>
      </w:r>
      <w:r w:rsidRPr="0093419A">
        <w:rPr>
          <w:i/>
          <w:iCs/>
          <w:lang w:val="en-US"/>
        </w:rPr>
        <w:t>Geoscientific Model Development</w:t>
      </w:r>
      <w:r w:rsidRPr="0093419A">
        <w:rPr>
          <w:lang w:val="en-US"/>
        </w:rPr>
        <w:t>. Copernicus GmbH, 13(11): 5583–5607. https://doi.org/10.5194/gmd-13-5583-2020.</w:t>
      </w:r>
    </w:p>
    <w:p w14:paraId="3269CF37" w14:textId="77777777" w:rsidR="0093419A" w:rsidRPr="0093419A" w:rsidRDefault="0093419A" w:rsidP="0093419A">
      <w:pPr>
        <w:pStyle w:val="Bibliography"/>
        <w:rPr>
          <w:lang w:val="en-US"/>
        </w:rPr>
      </w:pPr>
      <w:r w:rsidRPr="0093419A">
        <w:rPr>
          <w:lang w:val="en-US"/>
        </w:rPr>
        <w:t xml:space="preserve">Masson V, Heldens W, Bocher E, Bonhomme M, Bucher B, Burmeister C, de Munck C, Esch T, Hidalgo J, Kanani-Sühring F, Kwok Y-T, Lemonsu A, Lévy J-P, Maronga B, Pavlik D, Petit G, See L, Schoetter R, Tornay N, Votsis A, Zeidler J. 2020. City-descriptive input data for urban climate models: Model requirements, data sources and challenges. </w:t>
      </w:r>
      <w:r w:rsidRPr="0093419A">
        <w:rPr>
          <w:i/>
          <w:iCs/>
          <w:lang w:val="en-US"/>
        </w:rPr>
        <w:t>Urban Climate</w:t>
      </w:r>
      <w:r w:rsidRPr="0093419A">
        <w:rPr>
          <w:lang w:val="en-US"/>
        </w:rPr>
        <w:t>, 31: 100536. https://doi.org/10.1016/j.uclim.2019.100536.</w:t>
      </w:r>
    </w:p>
    <w:p w14:paraId="203F2ECC" w14:textId="77777777" w:rsidR="0093419A" w:rsidRPr="0093419A" w:rsidRDefault="0093419A" w:rsidP="0093419A">
      <w:pPr>
        <w:pStyle w:val="Bibliography"/>
        <w:rPr>
          <w:lang w:val="en-US"/>
        </w:rPr>
      </w:pPr>
      <w:r w:rsidRPr="0093419A">
        <w:rPr>
          <w:lang w:val="en-US"/>
        </w:rPr>
        <w:t>Zhang L, Xu Y, Meng C, Li X, Liu H, Wang C. 2020. Comparison of Statistical and Dynamic Downscaling Techniques in Generating High-Resolution Temperatures in China from CMIP5 GCMs. . https://doi.org/10.1175/JAMC-D-19-0048.1.</w:t>
      </w:r>
    </w:p>
    <w:p w14:paraId="32F31C54" w14:textId="77777777" w:rsidR="0093419A" w:rsidRPr="0093419A" w:rsidRDefault="0093419A" w:rsidP="0093419A">
      <w:pPr>
        <w:pStyle w:val="Bibliography"/>
        <w:rPr>
          <w:lang w:val="en-US"/>
        </w:rPr>
      </w:pPr>
      <w:r w:rsidRPr="0093419A">
        <w:rPr>
          <w:lang w:val="en-US"/>
        </w:rPr>
        <w:t xml:space="preserve">Doan VQ, Kusaka H. 2019. Development of a Multilayer Urban Canopy Model Combined with a Ray Tracing Algorithm. </w:t>
      </w:r>
      <w:r w:rsidRPr="0093419A">
        <w:rPr>
          <w:i/>
          <w:iCs/>
          <w:lang w:val="en-US"/>
        </w:rPr>
        <w:t>Scientific Online Letters on the Atmosphere</w:t>
      </w:r>
      <w:r w:rsidRPr="0093419A">
        <w:rPr>
          <w:lang w:val="en-US"/>
        </w:rPr>
        <w:t>, 15: 37–40. https://doi.org/10.2151/sola.2019-008.</w:t>
      </w:r>
    </w:p>
    <w:p w14:paraId="3392A2A6" w14:textId="77777777" w:rsidR="0093419A" w:rsidRPr="0093419A" w:rsidRDefault="0093419A" w:rsidP="0093419A">
      <w:pPr>
        <w:pStyle w:val="Bibliography"/>
        <w:rPr>
          <w:lang w:val="en-US"/>
        </w:rPr>
      </w:pPr>
      <w:r w:rsidRPr="0093419A">
        <w:rPr>
          <w:lang w:val="en-US"/>
        </w:rPr>
        <w:t xml:space="preserve">Giorgi F. 2019. Thirty Years of Regional Climate Modeling: Where Are We and Where Are We Going next? </w:t>
      </w:r>
      <w:r w:rsidRPr="0093419A">
        <w:rPr>
          <w:i/>
          <w:iCs/>
          <w:lang w:val="en-US"/>
        </w:rPr>
        <w:t>Journal of Geophysical Research: Atmospheres</w:t>
      </w:r>
      <w:r w:rsidRPr="0093419A">
        <w:rPr>
          <w:lang w:val="en-US"/>
        </w:rPr>
        <w:t>, 124(11): 5696–5723. https://doi.org/10.1029/2018JD030094.</w:t>
      </w:r>
    </w:p>
    <w:p w14:paraId="1B7695DF" w14:textId="77777777" w:rsidR="0093419A" w:rsidRPr="0093419A" w:rsidRDefault="0093419A" w:rsidP="0093419A">
      <w:pPr>
        <w:pStyle w:val="Bibliography"/>
        <w:rPr>
          <w:lang w:val="en-US"/>
        </w:rPr>
      </w:pPr>
      <w:r w:rsidRPr="0093419A">
        <w:rPr>
          <w:lang w:val="en-US"/>
        </w:rPr>
        <w:t xml:space="preserve">Shepherd TG, Boyd E, Calel RA, Chapman SC, Dessai S, Dima-West IM, Fowler HJ, James R, Maraun D, Martius O, Senior CA, Sobel AH, Stainforth DA, Tett SFB, Trenberth KE, van den Hurk BJJM, Watkins NW, Wilby RL, Zenghelis DA. 2018. Storylines: an alternative approach to representing uncertainty in physical aspects of climate change. </w:t>
      </w:r>
      <w:r w:rsidRPr="0093419A">
        <w:rPr>
          <w:i/>
          <w:iCs/>
          <w:lang w:val="en-US"/>
        </w:rPr>
        <w:t>Climatic Change</w:t>
      </w:r>
      <w:r w:rsidRPr="0093419A">
        <w:rPr>
          <w:lang w:val="en-US"/>
        </w:rPr>
        <w:t>, 151(3): 555–571. https://doi.org/10.1007/s10584-018-2317-9.</w:t>
      </w:r>
    </w:p>
    <w:p w14:paraId="2F603E24" w14:textId="77777777" w:rsidR="0093419A" w:rsidRPr="0093419A" w:rsidRDefault="0093419A" w:rsidP="0093419A">
      <w:pPr>
        <w:pStyle w:val="Bibliography"/>
        <w:rPr>
          <w:lang w:val="en-US"/>
        </w:rPr>
      </w:pPr>
      <w:r w:rsidRPr="0093419A">
        <w:rPr>
          <w:lang w:val="en-US"/>
        </w:rPr>
        <w:t xml:space="preserve">Oke TR, Mills G, Christen A, Voogt JA. 2017. </w:t>
      </w:r>
      <w:r w:rsidRPr="0093419A">
        <w:rPr>
          <w:i/>
          <w:iCs/>
          <w:lang w:val="en-US"/>
        </w:rPr>
        <w:t>Urban climates</w:t>
      </w:r>
      <w:r w:rsidRPr="0093419A">
        <w:rPr>
          <w:lang w:val="en-US"/>
        </w:rPr>
        <w:t>. Cambridge University Press.</w:t>
      </w:r>
    </w:p>
    <w:p w14:paraId="1A3CB26A" w14:textId="77777777" w:rsidR="0093419A" w:rsidRPr="0093419A" w:rsidRDefault="0093419A" w:rsidP="0093419A">
      <w:pPr>
        <w:pStyle w:val="Bibliography"/>
        <w:rPr>
          <w:lang w:val="en-US"/>
        </w:rPr>
      </w:pPr>
      <w:r w:rsidRPr="0093419A">
        <w:rPr>
          <w:lang w:val="en-US"/>
        </w:rPr>
        <w:t xml:space="preserve">Prein AF, Rasmussen R, Stephens G. 2017. Challenges and Advances in Convection-Permitting Climate Modeling. </w:t>
      </w:r>
      <w:r w:rsidRPr="0093419A">
        <w:rPr>
          <w:i/>
          <w:iCs/>
          <w:lang w:val="en-US"/>
        </w:rPr>
        <w:t>Bulletin of the American Meteorological Society</w:t>
      </w:r>
      <w:r w:rsidRPr="0093419A">
        <w:rPr>
          <w:lang w:val="en-US"/>
        </w:rPr>
        <w:t>. American Meteorological Society, 98(5): 1027–1030. https://doi.org/10.1175/BAMS-D-16-0263.1.</w:t>
      </w:r>
    </w:p>
    <w:p w14:paraId="25953CFD" w14:textId="77777777" w:rsidR="0093419A" w:rsidRPr="0093419A" w:rsidRDefault="0093419A" w:rsidP="0093419A">
      <w:pPr>
        <w:pStyle w:val="Bibliography"/>
        <w:rPr>
          <w:lang w:val="en-US"/>
        </w:rPr>
      </w:pPr>
      <w:r w:rsidRPr="0093419A">
        <w:rPr>
          <w:lang w:val="en-US"/>
        </w:rPr>
        <w:lastRenderedPageBreak/>
        <w:t xml:space="preserve">Rummukainen M. 2016. Added value in regional climate modeling. </w:t>
      </w:r>
      <w:r w:rsidRPr="0093419A">
        <w:rPr>
          <w:i/>
          <w:iCs/>
          <w:lang w:val="en-US"/>
        </w:rPr>
        <w:t>WIREs Climate Change</w:t>
      </w:r>
      <w:r w:rsidRPr="0093419A">
        <w:rPr>
          <w:lang w:val="en-US"/>
        </w:rPr>
        <w:t>, 7(1): 145–159. https://doi.org/10.1002/wcc.378.</w:t>
      </w:r>
    </w:p>
    <w:p w14:paraId="69517D64" w14:textId="77777777" w:rsidR="0093419A" w:rsidRPr="0093419A" w:rsidRDefault="0093419A" w:rsidP="0093419A">
      <w:pPr>
        <w:pStyle w:val="Bibliography"/>
        <w:rPr>
          <w:lang w:val="en-US"/>
        </w:rPr>
      </w:pPr>
      <w:r w:rsidRPr="0093419A">
        <w:rPr>
          <w:lang w:val="en-US"/>
        </w:rPr>
        <w:t xml:space="preserve">Sailor DJ, Georgescu M, Milne JM, Hart MA. 2015. Development of a national anthropogenic heating database with an extrapolation for international cities. </w:t>
      </w:r>
      <w:r w:rsidRPr="0093419A">
        <w:rPr>
          <w:i/>
          <w:iCs/>
          <w:lang w:val="en-US"/>
        </w:rPr>
        <w:t>Atmospheric Environment</w:t>
      </w:r>
      <w:r w:rsidRPr="0093419A">
        <w:rPr>
          <w:lang w:val="en-US"/>
        </w:rPr>
        <w:t>. Elsevier Ltd, 118(2015): 7–18. https://doi.org/10.1016/j.atmosenv.2015.07.016.</w:t>
      </w:r>
    </w:p>
    <w:p w14:paraId="76444A1B" w14:textId="77777777" w:rsidR="0093419A" w:rsidRPr="0093419A" w:rsidRDefault="0093419A" w:rsidP="0093419A">
      <w:pPr>
        <w:pStyle w:val="Bibliography"/>
        <w:rPr>
          <w:lang w:val="en-US"/>
        </w:rPr>
      </w:pPr>
      <w:r w:rsidRPr="0093419A">
        <w:rPr>
          <w:lang w:val="en-US"/>
        </w:rPr>
        <w:t xml:space="preserve">Hamdi R, Van de Vyver H, De Troch R, Termonia P. 2014. Assessment of three dynamical urban climate downscaling methods: Brussels’s future urban heat island under an A1B emission scenario. </w:t>
      </w:r>
      <w:r w:rsidRPr="0093419A">
        <w:rPr>
          <w:i/>
          <w:iCs/>
          <w:lang w:val="en-US"/>
        </w:rPr>
        <w:t>International Journal of Climatology</w:t>
      </w:r>
      <w:r w:rsidRPr="0093419A">
        <w:rPr>
          <w:lang w:val="en-US"/>
        </w:rPr>
        <w:t>, 34(4): 978–999. https://doi.org/10.1002/joc.3734.</w:t>
      </w:r>
    </w:p>
    <w:p w14:paraId="34DBD36A" w14:textId="77777777" w:rsidR="0093419A" w:rsidRPr="0093419A" w:rsidRDefault="0093419A" w:rsidP="0093419A">
      <w:pPr>
        <w:pStyle w:val="Bibliography"/>
        <w:rPr>
          <w:lang w:val="en-US"/>
        </w:rPr>
      </w:pPr>
      <w:r w:rsidRPr="0093419A">
        <w:rPr>
          <w:lang w:val="en-US"/>
        </w:rPr>
        <w:t xml:space="preserve">Gutiérrez JM, San-Martín D, Brands S, Manzanas R, Herrera S. 2013. Reassessing Statistical Downscaling Techniques for Their Robust Application under Climate Change Conditions. </w:t>
      </w:r>
      <w:r w:rsidRPr="0093419A">
        <w:rPr>
          <w:i/>
          <w:iCs/>
          <w:lang w:val="en-US"/>
        </w:rPr>
        <w:t>Journal of Climate</w:t>
      </w:r>
      <w:r w:rsidRPr="0093419A">
        <w:rPr>
          <w:lang w:val="en-US"/>
        </w:rPr>
        <w:t>. American Meteorological Society, 26(1): 171–188. https://doi.org/10.1175/JCLI-D-11-00687.1.</w:t>
      </w:r>
    </w:p>
    <w:p w14:paraId="704A48AB" w14:textId="77777777" w:rsidR="0093419A" w:rsidRPr="0093419A" w:rsidRDefault="0093419A" w:rsidP="0093419A">
      <w:pPr>
        <w:pStyle w:val="Bibliography"/>
        <w:rPr>
          <w:lang w:val="en-US"/>
        </w:rPr>
      </w:pPr>
      <w:r w:rsidRPr="0093419A">
        <w:rPr>
          <w:lang w:val="en-US"/>
        </w:rPr>
        <w:t xml:space="preserve">Wilby RL, Dawson CW. 2013. The Statistical DownScaling Model: insights from one decade of application. </w:t>
      </w:r>
      <w:r w:rsidRPr="0093419A">
        <w:rPr>
          <w:i/>
          <w:iCs/>
          <w:lang w:val="en-US"/>
        </w:rPr>
        <w:t>International Journal of Climatology</w:t>
      </w:r>
      <w:r w:rsidRPr="0093419A">
        <w:rPr>
          <w:lang w:val="en-US"/>
        </w:rPr>
        <w:t>, 33(7): 1707–1719. https://doi.org/10.1002/joc.3544.</w:t>
      </w:r>
    </w:p>
    <w:p w14:paraId="6CD2CD0B" w14:textId="77777777" w:rsidR="0093419A" w:rsidRPr="0093419A" w:rsidRDefault="0093419A" w:rsidP="0093419A">
      <w:pPr>
        <w:pStyle w:val="Bibliography"/>
        <w:rPr>
          <w:lang w:val="en-US"/>
        </w:rPr>
      </w:pPr>
      <w:r w:rsidRPr="0093419A">
        <w:rPr>
          <w:lang w:val="en-US"/>
        </w:rPr>
        <w:t xml:space="preserve">Best MJ, Pryor M, Clark DB, Rooney GG, Essery RLH, Ménard CB, Edwards JM, Hendry MA, Porson A, Gedney N, Mercado LM, Sitch S, Blyth E, Boucher O, Cox PM, Grimmond CSB, Harding RJ. 2011. The Joint UK Land Environment Simulator (JULES), model description – Part 1: Energy and water fluxes. </w:t>
      </w:r>
      <w:r w:rsidRPr="0093419A">
        <w:rPr>
          <w:i/>
          <w:iCs/>
          <w:lang w:val="en-US"/>
        </w:rPr>
        <w:t>Geoscientific Model Development</w:t>
      </w:r>
      <w:r w:rsidRPr="0093419A">
        <w:rPr>
          <w:lang w:val="en-US"/>
        </w:rPr>
        <w:t>. Copernicus GmbH, 4(3): 677–699. https://doi.org/10.5194/gmd-4-677-2011.</w:t>
      </w:r>
    </w:p>
    <w:p w14:paraId="6E1101AD" w14:textId="77777777" w:rsidR="0093419A" w:rsidRPr="0093419A" w:rsidRDefault="0093419A" w:rsidP="0093419A">
      <w:pPr>
        <w:pStyle w:val="Bibliography"/>
        <w:rPr>
          <w:lang w:val="en-US"/>
        </w:rPr>
      </w:pPr>
      <w:r w:rsidRPr="0093419A">
        <w:rPr>
          <w:lang w:val="en-US"/>
        </w:rPr>
        <w:t xml:space="preserve">Grimmond CSB, Roth M, Oke TR, Au YC, Best M, Betts R, Carmichael G, Cleugh H, Dabberdt W, Emmanuel R, Freitas E, Fortuniak K, Hanna S, Klein P, Kalkstein LS, Liu CH, Nickson A, Pearlmutter D, Sailor D, Voogt J. 2010. Climate and More Sustainable Cities: Climate Information for Improved Planning and Management of Cities (Producers/Capabilities Perspective). </w:t>
      </w:r>
      <w:r w:rsidRPr="0093419A">
        <w:rPr>
          <w:i/>
          <w:iCs/>
          <w:lang w:val="en-US"/>
        </w:rPr>
        <w:t>Procedia Environmental Sciences</w:t>
      </w:r>
      <w:r w:rsidRPr="0093419A">
        <w:rPr>
          <w:lang w:val="en-US"/>
        </w:rPr>
        <w:t>, 1: 247–274. https://doi.org/10.1016/j.proenv.2010.09.016.</w:t>
      </w:r>
    </w:p>
    <w:p w14:paraId="1D7A2C3B" w14:textId="77777777" w:rsidR="0093419A" w:rsidRPr="0093419A" w:rsidRDefault="0093419A" w:rsidP="0093419A">
      <w:pPr>
        <w:pStyle w:val="Bibliography"/>
        <w:rPr>
          <w:lang w:val="en-US"/>
        </w:rPr>
      </w:pPr>
      <w:r w:rsidRPr="0093419A">
        <w:rPr>
          <w:lang w:val="en-US"/>
        </w:rPr>
        <w:t xml:space="preserve">Stone B, Hess JJ, Frumkin H. 2010. Urban Form and Extreme Heat Events: Are Sprawling Cities More Vulnerable to Climate Change Than Compact Cities? </w:t>
      </w:r>
      <w:r w:rsidRPr="0093419A">
        <w:rPr>
          <w:i/>
          <w:iCs/>
          <w:lang w:val="en-US"/>
        </w:rPr>
        <w:t>Environmental Health Perspectives</w:t>
      </w:r>
      <w:r w:rsidRPr="0093419A">
        <w:rPr>
          <w:lang w:val="en-US"/>
        </w:rPr>
        <w:t>. Environmental Health Perspectives, 118(10): 1425–1428. https://doi.org/10.1289/ehp.0901879.</w:t>
      </w:r>
    </w:p>
    <w:p w14:paraId="72FF99F0" w14:textId="77777777" w:rsidR="0093419A" w:rsidRPr="0093419A" w:rsidRDefault="0093419A" w:rsidP="0093419A">
      <w:pPr>
        <w:pStyle w:val="Bibliography"/>
        <w:rPr>
          <w:lang w:val="en-US"/>
        </w:rPr>
      </w:pPr>
      <w:r w:rsidRPr="0093419A">
        <w:rPr>
          <w:lang w:val="en-US"/>
        </w:rPr>
        <w:t>Skamarock WC, Klemp JB, Dudhia J, Gill DO, Barker DM, Wang W, Powers JG. 2008. A description of the Advanced Research WRF version 3. NCAR Technical note -475+STR. .</w:t>
      </w:r>
    </w:p>
    <w:p w14:paraId="52C18977" w14:textId="77777777" w:rsidR="0093419A" w:rsidRPr="0093419A" w:rsidRDefault="0093419A" w:rsidP="0093419A">
      <w:pPr>
        <w:pStyle w:val="Bibliography"/>
        <w:rPr>
          <w:lang w:val="en-US"/>
        </w:rPr>
      </w:pPr>
      <w:r w:rsidRPr="0093419A">
        <w:rPr>
          <w:lang w:val="en-US"/>
        </w:rPr>
        <w:t xml:space="preserve">Sato T, Kimura F, Kitoh A. 2007. Projection of global warming onto regional precipitation over Mongolia using a regional climate model. </w:t>
      </w:r>
      <w:r w:rsidRPr="0093419A">
        <w:rPr>
          <w:i/>
          <w:iCs/>
          <w:lang w:val="en-US"/>
        </w:rPr>
        <w:t>Journal of Hydrology</w:t>
      </w:r>
      <w:r w:rsidRPr="0093419A">
        <w:rPr>
          <w:lang w:val="en-US"/>
        </w:rPr>
        <w:t>, 333(1): 144–154. https://doi.org/10.1016/j.jhydrol.2006.07.023.</w:t>
      </w:r>
    </w:p>
    <w:p w14:paraId="65C38F0B" w14:textId="77777777" w:rsidR="0093419A" w:rsidRPr="0093419A" w:rsidRDefault="0093419A" w:rsidP="0093419A">
      <w:pPr>
        <w:pStyle w:val="Bibliography"/>
        <w:rPr>
          <w:lang w:val="en-US"/>
        </w:rPr>
      </w:pPr>
      <w:r w:rsidRPr="0093419A">
        <w:rPr>
          <w:lang w:val="en-US"/>
        </w:rPr>
        <w:t>Shepherd JM, Burian SJ. 2003. Detection of Urban-Induced Rainfall Anomalies in a Major Coastal City. .</w:t>
      </w:r>
    </w:p>
    <w:p w14:paraId="1A5379A8" w14:textId="77777777" w:rsidR="0093419A" w:rsidRPr="0093419A" w:rsidRDefault="0093419A" w:rsidP="0093419A">
      <w:pPr>
        <w:pStyle w:val="Bibliography"/>
        <w:rPr>
          <w:lang w:val="en-US"/>
        </w:rPr>
      </w:pPr>
      <w:r w:rsidRPr="0093419A">
        <w:rPr>
          <w:lang w:val="en-US"/>
        </w:rPr>
        <w:t xml:space="preserve">Martilli A, Clappier A, Rotach MW. 2002. An Urban Surface Exchange Parameterisation for Mesoscale Models. </w:t>
      </w:r>
      <w:r w:rsidRPr="0093419A">
        <w:rPr>
          <w:i/>
          <w:iCs/>
          <w:lang w:val="en-US"/>
        </w:rPr>
        <w:t>Boundary-Layer Meteorology</w:t>
      </w:r>
      <w:r w:rsidRPr="0093419A">
        <w:rPr>
          <w:lang w:val="en-US"/>
        </w:rPr>
        <w:t>, 104(2): 261–304. https://doi.org/10.1023/A:1016099921195.</w:t>
      </w:r>
    </w:p>
    <w:p w14:paraId="0F6EE1A6" w14:textId="77777777" w:rsidR="0093419A" w:rsidRPr="0093419A" w:rsidRDefault="0093419A" w:rsidP="0093419A">
      <w:pPr>
        <w:pStyle w:val="Bibliography"/>
        <w:rPr>
          <w:lang w:val="en-US"/>
        </w:rPr>
      </w:pPr>
      <w:r w:rsidRPr="0093419A">
        <w:rPr>
          <w:lang w:val="en-US"/>
        </w:rPr>
        <w:t xml:space="preserve">Kusaka H, Kondo H, Kikegawa Y, Kimura F. 2001. A Simple Single-Layer Urban Canopy Model For Atmospheric Models: Comparison With Multi-Layer And Slab Models. </w:t>
      </w:r>
      <w:r w:rsidRPr="0093419A">
        <w:rPr>
          <w:i/>
          <w:iCs/>
          <w:lang w:val="en-US"/>
        </w:rPr>
        <w:t>Boundary-Layer Meteorology</w:t>
      </w:r>
      <w:r w:rsidRPr="0093419A">
        <w:rPr>
          <w:lang w:val="en-US"/>
        </w:rPr>
        <w:t>, 101(3): 329–358. https://doi.org/10.1023/A:1019207923078.</w:t>
      </w:r>
    </w:p>
    <w:p w14:paraId="4CD9C0DD" w14:textId="22CB1AF7" w:rsidR="00E70D24" w:rsidRDefault="00E70D24" w:rsidP="003D5288">
      <w:r>
        <w:fldChar w:fldCharType="end"/>
      </w:r>
    </w:p>
    <w:sectPr w:rsidR="00E70D24" w:rsidSect="00F512A5">
      <w:footerReference w:type="default" r:id="rId9"/>
      <w:pgSz w:w="11907" w:h="13608"/>
      <w:pgMar w:top="567" w:right="936" w:bottom="1338" w:left="936" w:header="0" w:footer="737" w:gutter="0"/>
      <w:lnNumType w:countBy="5" w:distance="227"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3BF6DC" w14:textId="77777777" w:rsidR="00CE3803" w:rsidRDefault="00CE3803" w:rsidP="006D0C96">
      <w:pPr>
        <w:spacing w:line="240" w:lineRule="auto"/>
      </w:pPr>
      <w:r>
        <w:separator/>
      </w:r>
    </w:p>
  </w:endnote>
  <w:endnote w:type="continuationSeparator" w:id="0">
    <w:p w14:paraId="2812F21E" w14:textId="77777777" w:rsidR="00CE3803" w:rsidRDefault="00CE3803" w:rsidP="006D0C9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SimHei">
    <w:altName w:val="黑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7788171"/>
      <w:docPartObj>
        <w:docPartGallery w:val="Page Numbers (Bottom of Page)"/>
        <w:docPartUnique/>
      </w:docPartObj>
    </w:sdtPr>
    <w:sdtEndPr>
      <w:rPr>
        <w:noProof/>
      </w:rPr>
    </w:sdtEndPr>
    <w:sdtContent>
      <w:p w14:paraId="5576ABD1" w14:textId="77777777" w:rsidR="006D0C96" w:rsidRDefault="006D0C96">
        <w:pPr>
          <w:pStyle w:val="Footer"/>
          <w:jc w:val="center"/>
        </w:pPr>
        <w:r>
          <w:fldChar w:fldCharType="begin"/>
        </w:r>
        <w:r>
          <w:instrText xml:space="preserve"> PAGE   \* MERGEFORMAT </w:instrText>
        </w:r>
        <w:r>
          <w:fldChar w:fldCharType="separate"/>
        </w:r>
        <w:r w:rsidR="003118C8">
          <w:rPr>
            <w:noProof/>
          </w:rPr>
          <w:t>2</w:t>
        </w:r>
        <w:r>
          <w:rPr>
            <w:noProof/>
          </w:rPr>
          <w:fldChar w:fldCharType="end"/>
        </w:r>
      </w:p>
    </w:sdtContent>
  </w:sdt>
  <w:p w14:paraId="44AA5123" w14:textId="77777777" w:rsidR="006D0C96" w:rsidRDefault="006D0C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8C22A3" w14:textId="77777777" w:rsidR="00CE3803" w:rsidRDefault="00CE3803" w:rsidP="006D0C96">
      <w:pPr>
        <w:spacing w:line="240" w:lineRule="auto"/>
      </w:pPr>
      <w:r>
        <w:separator/>
      </w:r>
    </w:p>
  </w:footnote>
  <w:footnote w:type="continuationSeparator" w:id="0">
    <w:p w14:paraId="732B36F5" w14:textId="77777777" w:rsidR="00CE3803" w:rsidRDefault="00CE3803" w:rsidP="006D0C9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94403"/>
    <w:multiLevelType w:val="hybridMultilevel"/>
    <w:tmpl w:val="E6ECA0A2"/>
    <w:lvl w:ilvl="0" w:tplc="35A460C0">
      <w:start w:val="1"/>
      <w:numFmt w:val="decimal"/>
      <w:lvlText w:val="%1."/>
      <w:lvlJc w:val="left"/>
      <w:pPr>
        <w:ind w:left="720" w:hanging="360"/>
      </w:pPr>
      <w:rPr>
        <w:rFonts w:ascii="Times New Roman" w:hAnsi="Times New Roman" w:hint="default"/>
        <w:b w:val="0"/>
        <w:i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3621EB8"/>
    <w:multiLevelType w:val="hybridMultilevel"/>
    <w:tmpl w:val="B3626938"/>
    <w:lvl w:ilvl="0" w:tplc="F29A847E">
      <w:start w:val="1"/>
      <w:numFmt w:val="bullet"/>
      <w:pStyle w:val="Bullets"/>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DE66F3D"/>
    <w:multiLevelType w:val="multilevel"/>
    <w:tmpl w:val="8B12B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5780240">
    <w:abstractNumId w:val="1"/>
  </w:num>
  <w:num w:numId="2" w16cid:durableId="1476216129">
    <w:abstractNumId w:val="1"/>
  </w:num>
  <w:num w:numId="3" w16cid:durableId="982927824">
    <w:abstractNumId w:val="0"/>
  </w:num>
  <w:num w:numId="4" w16cid:durableId="14197855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doNotDisplayPageBoundaries/>
  <w:proofState w:spelling="clean" w:grammar="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4213"/>
    <w:rsid w:val="00041A84"/>
    <w:rsid w:val="0005690A"/>
    <w:rsid w:val="00075F28"/>
    <w:rsid w:val="00084789"/>
    <w:rsid w:val="000A1B66"/>
    <w:rsid w:val="000C3A9F"/>
    <w:rsid w:val="00135329"/>
    <w:rsid w:val="001C5EB9"/>
    <w:rsid w:val="00200B97"/>
    <w:rsid w:val="00203F92"/>
    <w:rsid w:val="002D7ECA"/>
    <w:rsid w:val="003118C8"/>
    <w:rsid w:val="00335619"/>
    <w:rsid w:val="00364D4F"/>
    <w:rsid w:val="003A4FB4"/>
    <w:rsid w:val="003D5288"/>
    <w:rsid w:val="00450DB9"/>
    <w:rsid w:val="00463568"/>
    <w:rsid w:val="004D0F1A"/>
    <w:rsid w:val="00542A82"/>
    <w:rsid w:val="0055217B"/>
    <w:rsid w:val="00564213"/>
    <w:rsid w:val="005979FC"/>
    <w:rsid w:val="005A4F32"/>
    <w:rsid w:val="006326D7"/>
    <w:rsid w:val="00670F05"/>
    <w:rsid w:val="006D0C96"/>
    <w:rsid w:val="0070059D"/>
    <w:rsid w:val="0070537F"/>
    <w:rsid w:val="00733473"/>
    <w:rsid w:val="00733CBB"/>
    <w:rsid w:val="00751A44"/>
    <w:rsid w:val="00796A7F"/>
    <w:rsid w:val="007C1852"/>
    <w:rsid w:val="00855006"/>
    <w:rsid w:val="00883829"/>
    <w:rsid w:val="008B719F"/>
    <w:rsid w:val="008E213F"/>
    <w:rsid w:val="008E3110"/>
    <w:rsid w:val="009150E4"/>
    <w:rsid w:val="0091791F"/>
    <w:rsid w:val="00932F15"/>
    <w:rsid w:val="0093419A"/>
    <w:rsid w:val="00943440"/>
    <w:rsid w:val="009D38E2"/>
    <w:rsid w:val="009F2C0A"/>
    <w:rsid w:val="00A17EED"/>
    <w:rsid w:val="00AE4157"/>
    <w:rsid w:val="00B4015F"/>
    <w:rsid w:val="00B5719D"/>
    <w:rsid w:val="00B62878"/>
    <w:rsid w:val="00B75342"/>
    <w:rsid w:val="00B94A58"/>
    <w:rsid w:val="00BD0523"/>
    <w:rsid w:val="00C1589F"/>
    <w:rsid w:val="00C26311"/>
    <w:rsid w:val="00C35812"/>
    <w:rsid w:val="00C82F79"/>
    <w:rsid w:val="00CC51D0"/>
    <w:rsid w:val="00CD59BA"/>
    <w:rsid w:val="00CE3803"/>
    <w:rsid w:val="00D40CE0"/>
    <w:rsid w:val="00DB4E53"/>
    <w:rsid w:val="00E00253"/>
    <w:rsid w:val="00E00339"/>
    <w:rsid w:val="00E142A8"/>
    <w:rsid w:val="00E15A40"/>
    <w:rsid w:val="00E70D24"/>
    <w:rsid w:val="00E861A5"/>
    <w:rsid w:val="00ED6B96"/>
    <w:rsid w:val="00EE58C0"/>
    <w:rsid w:val="00F06C47"/>
    <w:rsid w:val="00F35903"/>
    <w:rsid w:val="00F512A5"/>
    <w:rsid w:val="00F5258E"/>
    <w:rsid w:val="00F64C9C"/>
    <w:rsid w:val="00FA664E"/>
    <w:rsid w:val="00FF308B"/>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BE553"/>
  <w15:docId w15:val="{D2CFD17B-36C5-4048-BB43-0059F9DAD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0CE0"/>
    <w:pPr>
      <w:spacing w:line="360" w:lineRule="auto"/>
      <w:jc w:val="both"/>
    </w:pPr>
    <w:rPr>
      <w:rFonts w:ascii="Times New Roman" w:eastAsia="Times New Roman" w:hAnsi="Times New Roman"/>
      <w:szCs w:val="24"/>
      <w:lang w:eastAsia="de-DE"/>
    </w:rPr>
  </w:style>
  <w:style w:type="paragraph" w:styleId="Heading1">
    <w:name w:val="heading 1"/>
    <w:basedOn w:val="Normal"/>
    <w:next w:val="Normal"/>
    <w:link w:val="Heading1Char"/>
    <w:qFormat/>
    <w:rsid w:val="00075F28"/>
    <w:pPr>
      <w:keepNext/>
      <w:spacing w:before="480" w:after="240" w:line="240" w:lineRule="auto"/>
      <w:outlineLvl w:val="0"/>
    </w:pPr>
    <w:rPr>
      <w:rFonts w:cs="Arial"/>
      <w:b/>
      <w:bCs/>
      <w:color w:val="000000"/>
      <w:kern w:val="32"/>
      <w:szCs w:val="32"/>
    </w:rPr>
  </w:style>
  <w:style w:type="paragraph" w:styleId="Heading2">
    <w:name w:val="heading 2"/>
    <w:basedOn w:val="Normal"/>
    <w:next w:val="Normal"/>
    <w:link w:val="Heading2Char"/>
    <w:qFormat/>
    <w:rsid w:val="00E00339"/>
    <w:pPr>
      <w:keepNext/>
      <w:spacing w:before="240" w:after="240" w:line="240" w:lineRule="auto"/>
      <w:outlineLvl w:val="1"/>
    </w:pPr>
    <w:rPr>
      <w:rFonts w:cs="Arial"/>
      <w:b/>
      <w:bCs/>
      <w:iCs/>
      <w:szCs w:val="28"/>
    </w:rPr>
  </w:style>
  <w:style w:type="paragraph" w:styleId="Heading3">
    <w:name w:val="heading 3"/>
    <w:basedOn w:val="Normal"/>
    <w:next w:val="Normal"/>
    <w:link w:val="Heading3Char"/>
    <w:qFormat/>
    <w:rsid w:val="005A4F32"/>
    <w:pPr>
      <w:keepNext/>
      <w:spacing w:before="240" w:after="240" w:line="240" w:lineRule="auto"/>
      <w:outlineLvl w:val="2"/>
    </w:pPr>
    <w:rPr>
      <w:rFonts w:cs="Arial"/>
      <w:b/>
      <w:bCs/>
      <w:szCs w:val="26"/>
    </w:rPr>
  </w:style>
  <w:style w:type="paragraph" w:styleId="Heading4">
    <w:name w:val="heading 4"/>
    <w:basedOn w:val="Normal"/>
    <w:next w:val="Normal"/>
    <w:link w:val="Heading4Char"/>
    <w:rsid w:val="00ED6B96"/>
    <w:pPr>
      <w:keepNext/>
      <w:outlineLvl w:val="3"/>
    </w:pPr>
    <w:rPr>
      <w:b/>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etreff">
    <w:name w:val="Betreff"/>
    <w:basedOn w:val="Normal"/>
    <w:next w:val="Normal"/>
    <w:rsid w:val="00ED6B96"/>
    <w:rPr>
      <w:b/>
    </w:rPr>
  </w:style>
  <w:style w:type="paragraph" w:customStyle="1" w:styleId="Bullets">
    <w:name w:val="Bullets"/>
    <w:basedOn w:val="Normal"/>
    <w:link w:val="BulletsChar"/>
    <w:rsid w:val="00ED6B96"/>
    <w:pPr>
      <w:numPr>
        <w:numId w:val="2"/>
      </w:numPr>
    </w:pPr>
  </w:style>
  <w:style w:type="character" w:customStyle="1" w:styleId="BulletsChar">
    <w:name w:val="Bullets Char"/>
    <w:link w:val="Bullets"/>
    <w:rsid w:val="00ED6B96"/>
    <w:rPr>
      <w:rFonts w:ascii="Verdana" w:eastAsia="Times New Roman" w:hAnsi="Verdana" w:cs="Times New Roman"/>
      <w:sz w:val="19"/>
      <w:szCs w:val="24"/>
      <w:lang w:eastAsia="de-DE"/>
    </w:rPr>
  </w:style>
  <w:style w:type="table" w:customStyle="1" w:styleId="Copernicus">
    <w:name w:val="Copernicus"/>
    <w:basedOn w:val="TableNormal"/>
    <w:rsid w:val="00ED6B96"/>
    <w:rPr>
      <w:rFonts w:ascii="Verdana" w:eastAsia="Times New Roman" w:hAnsi="Verdana"/>
      <w:sz w:val="19"/>
    </w:rPr>
    <w:tblPr>
      <w:tblStyleRowBandSize w:val="1"/>
      <w:tblStyleColBandSize w:val="1"/>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cPr>
      <w:shd w:val="clear" w:color="auto" w:fill="auto"/>
      <w:vAlign w:val="center"/>
    </w:tcPr>
    <w:tblStylePr w:type="firstRow">
      <w:pPr>
        <w:jc w:val="left"/>
      </w:pPr>
      <w:rPr>
        <w:rFonts w:ascii="Verdana" w:hAnsi="Verdana"/>
        <w:b/>
        <w:i w:val="0"/>
        <w:sz w:val="19"/>
      </w:rPr>
      <w:tblPr/>
      <w:tcPr>
        <w:shd w:val="clear" w:color="auto" w:fill="BFBFBF"/>
      </w:tcPr>
    </w:tblStylePr>
    <w:tblStylePr w:type="lastRow">
      <w:pPr>
        <w:jc w:val="left"/>
      </w:pPr>
      <w:rPr>
        <w:rFonts w:ascii="Verdana" w:hAnsi="Verdana"/>
        <w:sz w:val="19"/>
      </w:rPr>
    </w:tblStylePr>
    <w:tblStylePr w:type="firstCol">
      <w:rPr>
        <w:rFonts w:ascii="Verdana" w:hAnsi="Verdana"/>
        <w:sz w:val="19"/>
      </w:rPr>
    </w:tblStylePr>
    <w:tblStylePr w:type="lastCol">
      <w:rPr>
        <w:rFonts w:ascii="Verdana" w:hAnsi="Verdana"/>
        <w:sz w:val="19"/>
      </w:rPr>
      <w:tblPr/>
      <w:tcPr>
        <w:tcBorders>
          <w:top w:val="single" w:sz="4" w:space="0" w:color="7F7F7F"/>
          <w:left w:val="single" w:sz="4" w:space="0" w:color="7F7F7F"/>
          <w:bottom w:val="single" w:sz="4" w:space="0" w:color="7F7F7F"/>
          <w:right w:val="single" w:sz="4" w:space="0" w:color="7F7F7F"/>
          <w:insideH w:val="single" w:sz="4" w:space="0" w:color="7F7F7F"/>
          <w:insideV w:val="single" w:sz="4" w:space="0" w:color="7F7F7F"/>
        </w:tcBorders>
      </w:tcPr>
    </w:tblStylePr>
  </w:style>
  <w:style w:type="paragraph" w:styleId="Header">
    <w:name w:val="header"/>
    <w:basedOn w:val="Normal"/>
    <w:link w:val="HeaderChar"/>
    <w:rsid w:val="00ED6B96"/>
    <w:pPr>
      <w:tabs>
        <w:tab w:val="center" w:pos="4536"/>
        <w:tab w:val="right" w:pos="9072"/>
      </w:tabs>
    </w:pPr>
  </w:style>
  <w:style w:type="character" w:customStyle="1" w:styleId="Heading1Char">
    <w:name w:val="Heading 1 Char"/>
    <w:link w:val="Heading1"/>
    <w:rsid w:val="00075F28"/>
    <w:rPr>
      <w:rFonts w:ascii="Times New Roman" w:eastAsia="Times New Roman" w:hAnsi="Times New Roman" w:cs="Arial"/>
      <w:b/>
      <w:bCs/>
      <w:color w:val="000000"/>
      <w:kern w:val="32"/>
      <w:szCs w:val="32"/>
      <w:lang w:eastAsia="de-DE"/>
    </w:rPr>
  </w:style>
  <w:style w:type="character" w:customStyle="1" w:styleId="Heading3Char">
    <w:name w:val="Heading 3 Char"/>
    <w:link w:val="Heading3"/>
    <w:rsid w:val="005A4F32"/>
    <w:rPr>
      <w:rFonts w:ascii="Times New Roman" w:eastAsia="Times New Roman" w:hAnsi="Times New Roman" w:cs="Arial"/>
      <w:b/>
      <w:bCs/>
      <w:szCs w:val="26"/>
      <w:lang w:eastAsia="de-DE"/>
    </w:rPr>
  </w:style>
  <w:style w:type="character" w:customStyle="1" w:styleId="Heading4Char">
    <w:name w:val="Heading 4 Char"/>
    <w:link w:val="Heading4"/>
    <w:rsid w:val="00796A7F"/>
    <w:rPr>
      <w:rFonts w:ascii="Verdana" w:eastAsia="Times New Roman" w:hAnsi="Verdana" w:cs="Times New Roman"/>
      <w:b/>
      <w:bCs/>
      <w:sz w:val="19"/>
      <w:szCs w:val="28"/>
      <w:lang w:eastAsia="de-DE"/>
    </w:rPr>
  </w:style>
  <w:style w:type="character" w:customStyle="1" w:styleId="HeaderChar">
    <w:name w:val="Header Char"/>
    <w:link w:val="Header"/>
    <w:rsid w:val="00ED6B96"/>
    <w:rPr>
      <w:rFonts w:ascii="Verdana" w:eastAsia="Times New Roman" w:hAnsi="Verdana" w:cs="Times New Roman"/>
      <w:sz w:val="19"/>
      <w:szCs w:val="24"/>
      <w:lang w:eastAsia="de-DE"/>
    </w:rPr>
  </w:style>
  <w:style w:type="character" w:customStyle="1" w:styleId="Heading2Char">
    <w:name w:val="Heading 2 Char"/>
    <w:link w:val="Heading2"/>
    <w:rsid w:val="00E00339"/>
    <w:rPr>
      <w:rFonts w:ascii="Times New Roman" w:eastAsia="Times New Roman" w:hAnsi="Times New Roman" w:cs="Arial"/>
      <w:b/>
      <w:bCs/>
      <w:iCs/>
      <w:szCs w:val="28"/>
      <w:lang w:eastAsia="de-DE"/>
    </w:rPr>
  </w:style>
  <w:style w:type="character" w:styleId="Hyperlink">
    <w:name w:val="Hyperlink"/>
    <w:rsid w:val="00ED6B96"/>
    <w:rPr>
      <w:color w:val="0000FF"/>
      <w:u w:val="single"/>
    </w:rPr>
  </w:style>
  <w:style w:type="paragraph" w:customStyle="1" w:styleId="Kontakt">
    <w:name w:val="Kontakt"/>
    <w:basedOn w:val="Normal"/>
    <w:rsid w:val="00ED6B96"/>
    <w:pPr>
      <w:spacing w:line="160" w:lineRule="exact"/>
    </w:pPr>
    <w:rPr>
      <w:color w:val="808080"/>
      <w:sz w:val="13"/>
    </w:rPr>
  </w:style>
  <w:style w:type="paragraph" w:customStyle="1" w:styleId="Name">
    <w:name w:val="Name"/>
    <w:basedOn w:val="Normal"/>
    <w:rsid w:val="00ED6B96"/>
    <w:pPr>
      <w:spacing w:before="160" w:after="80"/>
    </w:pPr>
    <w:rPr>
      <w:rFonts w:ascii="Book Antiqua" w:hAnsi="Book Antiqua"/>
      <w:color w:val="808080"/>
      <w:sz w:val="22"/>
    </w:rPr>
  </w:style>
  <w:style w:type="paragraph" w:customStyle="1" w:styleId="CopernicusWordtemplate">
    <w:name w:val="Copernicus_Word_template"/>
    <w:basedOn w:val="Normal"/>
    <w:link w:val="CopernicusWordtemplateChar"/>
    <w:rsid w:val="00B5719D"/>
  </w:style>
  <w:style w:type="character" w:customStyle="1" w:styleId="CopernicusWordtemplateChar">
    <w:name w:val="Copernicus_Word_template Char"/>
    <w:basedOn w:val="DefaultParagraphFont"/>
    <w:link w:val="CopernicusWordtemplate"/>
    <w:rsid w:val="00B5719D"/>
    <w:rPr>
      <w:rFonts w:ascii="Times New Roman" w:eastAsia="Times New Roman" w:hAnsi="Times New Roman"/>
      <w:sz w:val="24"/>
      <w:szCs w:val="24"/>
      <w:lang w:eastAsia="de-DE"/>
    </w:rPr>
  </w:style>
  <w:style w:type="character" w:styleId="LineNumber">
    <w:name w:val="line number"/>
    <w:basedOn w:val="DefaultParagraphFont"/>
    <w:uiPriority w:val="99"/>
    <w:semiHidden/>
    <w:unhideWhenUsed/>
    <w:rsid w:val="00D40CE0"/>
  </w:style>
  <w:style w:type="paragraph" w:customStyle="1" w:styleId="MStitle">
    <w:name w:val="MS title"/>
    <w:basedOn w:val="Normal"/>
    <w:link w:val="MStitleChar"/>
    <w:qFormat/>
    <w:rsid w:val="0091791F"/>
    <w:pPr>
      <w:spacing w:before="360" w:line="440" w:lineRule="exact"/>
      <w:contextualSpacing/>
    </w:pPr>
    <w:rPr>
      <w:b/>
      <w:sz w:val="34"/>
    </w:rPr>
  </w:style>
  <w:style w:type="paragraph" w:styleId="ListParagraph">
    <w:name w:val="List Paragraph"/>
    <w:basedOn w:val="Normal"/>
    <w:uiPriority w:val="34"/>
    <w:rsid w:val="00B4015F"/>
    <w:pPr>
      <w:ind w:left="720"/>
      <w:contextualSpacing/>
    </w:pPr>
  </w:style>
  <w:style w:type="character" w:customStyle="1" w:styleId="MStitleChar">
    <w:name w:val="MS title Char"/>
    <w:basedOn w:val="DefaultParagraphFont"/>
    <w:link w:val="MStitle"/>
    <w:rsid w:val="0091791F"/>
    <w:rPr>
      <w:rFonts w:ascii="Times New Roman" w:eastAsia="Times New Roman" w:hAnsi="Times New Roman"/>
      <w:b/>
      <w:sz w:val="34"/>
      <w:szCs w:val="24"/>
      <w:lang w:eastAsia="de-DE"/>
    </w:rPr>
  </w:style>
  <w:style w:type="paragraph" w:customStyle="1" w:styleId="Affiliation">
    <w:name w:val="Affiliation"/>
    <w:basedOn w:val="Normal"/>
    <w:link w:val="AffiliationChar"/>
    <w:qFormat/>
    <w:rsid w:val="00450DB9"/>
    <w:pPr>
      <w:spacing w:before="120" w:line="240" w:lineRule="auto"/>
      <w:contextualSpacing/>
    </w:pPr>
  </w:style>
  <w:style w:type="character" w:styleId="PlaceholderText">
    <w:name w:val="Placeholder Text"/>
    <w:basedOn w:val="DefaultParagraphFont"/>
    <w:uiPriority w:val="99"/>
    <w:semiHidden/>
    <w:rsid w:val="003D5288"/>
    <w:rPr>
      <w:color w:val="808080"/>
    </w:rPr>
  </w:style>
  <w:style w:type="character" w:customStyle="1" w:styleId="AffiliationChar">
    <w:name w:val="Affiliation Char"/>
    <w:basedOn w:val="DefaultParagraphFont"/>
    <w:link w:val="Affiliation"/>
    <w:rsid w:val="00450DB9"/>
    <w:rPr>
      <w:rFonts w:ascii="Times New Roman" w:eastAsia="Times New Roman" w:hAnsi="Times New Roman"/>
      <w:szCs w:val="24"/>
      <w:lang w:eastAsia="de-DE"/>
    </w:rPr>
  </w:style>
  <w:style w:type="paragraph" w:styleId="BalloonText">
    <w:name w:val="Balloon Text"/>
    <w:basedOn w:val="Normal"/>
    <w:link w:val="BalloonTextChar"/>
    <w:uiPriority w:val="99"/>
    <w:semiHidden/>
    <w:unhideWhenUsed/>
    <w:rsid w:val="003D5288"/>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D5288"/>
    <w:rPr>
      <w:rFonts w:ascii="Tahoma" w:eastAsia="Times New Roman" w:hAnsi="Tahoma" w:cs="Tahoma"/>
      <w:sz w:val="16"/>
      <w:szCs w:val="16"/>
      <w:lang w:eastAsia="de-DE"/>
    </w:rPr>
  </w:style>
  <w:style w:type="paragraph" w:customStyle="1" w:styleId="Equation">
    <w:name w:val="Equation"/>
    <w:basedOn w:val="Normal"/>
    <w:link w:val="EquationChar"/>
    <w:rsid w:val="00C35812"/>
    <w:pPr>
      <w:spacing w:before="120" w:after="120"/>
    </w:pPr>
    <w:rPr>
      <w:rFonts w:ascii="Cambria Math" w:hAnsi="Cambria Math"/>
    </w:rPr>
  </w:style>
  <w:style w:type="paragraph" w:styleId="Caption">
    <w:name w:val="caption"/>
    <w:basedOn w:val="Normal"/>
    <w:next w:val="Normal"/>
    <w:uiPriority w:val="35"/>
    <w:unhideWhenUsed/>
    <w:qFormat/>
    <w:rsid w:val="003A4FB4"/>
    <w:pPr>
      <w:spacing w:after="200" w:line="240" w:lineRule="auto"/>
    </w:pPr>
    <w:rPr>
      <w:b/>
      <w:bCs/>
      <w:sz w:val="18"/>
      <w:szCs w:val="18"/>
    </w:rPr>
  </w:style>
  <w:style w:type="character" w:customStyle="1" w:styleId="EquationChar">
    <w:name w:val="Equation Char"/>
    <w:basedOn w:val="DefaultParagraphFont"/>
    <w:link w:val="Equation"/>
    <w:rsid w:val="00C35812"/>
    <w:rPr>
      <w:rFonts w:ascii="Cambria Math" w:eastAsia="Times New Roman" w:hAnsi="Cambria Math"/>
      <w:szCs w:val="24"/>
      <w:lang w:eastAsia="de-DE"/>
    </w:rPr>
  </w:style>
  <w:style w:type="paragraph" w:styleId="Footer">
    <w:name w:val="footer"/>
    <w:basedOn w:val="Normal"/>
    <w:link w:val="FooterChar"/>
    <w:uiPriority w:val="99"/>
    <w:unhideWhenUsed/>
    <w:rsid w:val="006D0C96"/>
    <w:pPr>
      <w:tabs>
        <w:tab w:val="center" w:pos="4513"/>
        <w:tab w:val="right" w:pos="9026"/>
      </w:tabs>
      <w:spacing w:line="240" w:lineRule="auto"/>
    </w:pPr>
  </w:style>
  <w:style w:type="character" w:customStyle="1" w:styleId="FooterChar">
    <w:name w:val="Footer Char"/>
    <w:basedOn w:val="DefaultParagraphFont"/>
    <w:link w:val="Footer"/>
    <w:uiPriority w:val="99"/>
    <w:rsid w:val="006D0C96"/>
    <w:rPr>
      <w:rFonts w:ascii="Times New Roman" w:eastAsia="Times New Roman" w:hAnsi="Times New Roman"/>
      <w:szCs w:val="24"/>
      <w:lang w:eastAsia="de-DE"/>
    </w:rPr>
  </w:style>
  <w:style w:type="paragraph" w:customStyle="1" w:styleId="Correspondence">
    <w:name w:val="Correspondence"/>
    <w:basedOn w:val="Normal"/>
    <w:link w:val="CorrespondenceChar"/>
    <w:qFormat/>
    <w:rsid w:val="008E213F"/>
    <w:pPr>
      <w:spacing w:before="120" w:after="360" w:line="240" w:lineRule="auto"/>
    </w:pPr>
  </w:style>
  <w:style w:type="character" w:customStyle="1" w:styleId="CorrespondenceChar">
    <w:name w:val="Correspondence Char"/>
    <w:basedOn w:val="DefaultParagraphFont"/>
    <w:link w:val="Correspondence"/>
    <w:rsid w:val="008E213F"/>
    <w:rPr>
      <w:rFonts w:ascii="Times New Roman" w:eastAsia="Times New Roman" w:hAnsi="Times New Roman"/>
      <w:szCs w:val="24"/>
      <w:lang w:eastAsia="de-DE"/>
    </w:rPr>
  </w:style>
  <w:style w:type="paragraph" w:customStyle="1" w:styleId="Authors">
    <w:name w:val="Authors"/>
    <w:basedOn w:val="Normal"/>
    <w:link w:val="AuthorsChar"/>
    <w:qFormat/>
    <w:rsid w:val="00BD0523"/>
    <w:pPr>
      <w:spacing w:before="180" w:line="240" w:lineRule="auto"/>
      <w:contextualSpacing/>
    </w:pPr>
    <w:rPr>
      <w:sz w:val="24"/>
    </w:rPr>
  </w:style>
  <w:style w:type="character" w:customStyle="1" w:styleId="AuthorsChar">
    <w:name w:val="Authors Char"/>
    <w:basedOn w:val="DefaultParagraphFont"/>
    <w:link w:val="Authors"/>
    <w:rsid w:val="00BD0523"/>
    <w:rPr>
      <w:rFonts w:ascii="Times New Roman" w:eastAsia="Times New Roman" w:hAnsi="Times New Roman"/>
      <w:sz w:val="24"/>
      <w:szCs w:val="24"/>
      <w:lang w:eastAsia="de-DE"/>
    </w:rPr>
  </w:style>
  <w:style w:type="paragraph" w:styleId="Bibliography">
    <w:name w:val="Bibliography"/>
    <w:basedOn w:val="Normal"/>
    <w:next w:val="Normal"/>
    <w:uiPriority w:val="37"/>
    <w:unhideWhenUsed/>
    <w:rsid w:val="00E70D24"/>
    <w:pPr>
      <w:spacing w:after="240" w:line="240" w:lineRule="auto"/>
    </w:pPr>
  </w:style>
  <w:style w:type="paragraph" w:styleId="NormalWeb">
    <w:name w:val="Normal (Web)"/>
    <w:basedOn w:val="Normal"/>
    <w:uiPriority w:val="99"/>
    <w:unhideWhenUsed/>
    <w:rsid w:val="00E70D24"/>
    <w:pPr>
      <w:spacing w:before="100" w:beforeAutospacing="1" w:after="100" w:afterAutospacing="1" w:line="240" w:lineRule="auto"/>
      <w:jc w:val="left"/>
    </w:pPr>
    <w:rPr>
      <w:sz w:val="21"/>
      <w:szCs w:val="21"/>
      <w:lang w:val="en-US" w:eastAsia="ja-JP"/>
    </w:rPr>
  </w:style>
  <w:style w:type="character" w:styleId="Emphasis">
    <w:name w:val="Emphasis"/>
    <w:basedOn w:val="DefaultParagraphFont"/>
    <w:uiPriority w:val="20"/>
    <w:qFormat/>
    <w:rsid w:val="00E70D24"/>
    <w:rPr>
      <w:i/>
      <w:iCs/>
    </w:rPr>
  </w:style>
  <w:style w:type="character" w:styleId="Strong">
    <w:name w:val="Strong"/>
    <w:basedOn w:val="DefaultParagraphFont"/>
    <w:uiPriority w:val="22"/>
    <w:qFormat/>
    <w:rsid w:val="00E70D2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CopernicusTemplates\Free-Forms\Blank.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opernicus_Word_template">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A4FDE8-F468-4358-9F5B-AA26B12680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C:\CopernicusTemplates\Free-Forms\Blank.dotm</Template>
  <TotalTime>0</TotalTime>
  <Pages>17</Pages>
  <Words>6547</Words>
  <Characters>43439</Characters>
  <Application>Microsoft Office Word</Application>
  <DocSecurity>0</DocSecurity>
  <Lines>625</Lines>
  <Paragraphs>200</Paragraphs>
  <ScaleCrop>false</ScaleCrop>
  <HeadingPairs>
    <vt:vector size="2" baseType="variant">
      <vt:variant>
        <vt:lpstr>Title</vt:lpstr>
      </vt:variant>
      <vt:variant>
        <vt:i4>1</vt:i4>
      </vt:variant>
    </vt:vector>
  </HeadingPairs>
  <TitlesOfParts>
    <vt:vector size="1" baseType="lpstr">
      <vt:lpstr>Blank</vt:lpstr>
    </vt:vector>
  </TitlesOfParts>
  <Company>Copernicus Gesellschaft mbH</Company>
  <LinksUpToDate>false</LinksUpToDate>
  <CharactersWithSpaces>49741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Blank</dc:title>
  <dc:creator>Martin Rasmussen</dc:creator>
  <cp:lastModifiedBy>Doan Quang Van</cp:lastModifiedBy>
  <cp:revision>2</cp:revision>
  <cp:lastPrinted>2016-02-01T07:21:00Z</cp:lastPrinted>
  <dcterms:created xsi:type="dcterms:W3CDTF">2026-03-15T04:43:00Z</dcterms:created>
  <dcterms:modified xsi:type="dcterms:W3CDTF">2026-03-15T04:43:00Z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id="2JgH0Dw7"/&gt;&lt;style id="http://www.zotero.org/styles/international-journal-of-climatology" hasBibliography="1" bibliographyStyleHasBeenSet="1"/&gt;&lt;prefs&gt;&lt;pref name="fieldType" value="Field"/&gt;&lt;pref na</vt:lpwstr>
  </property>
  <property fmtid="{D5CDD505-2E9C-101B-9397-08002B2CF9AE}" pid="3" name="ZOTERO_PREF_2">
    <vt:lpwstr>me="automaticJournalAbbreviations" value="true"/&gt;&lt;/prefs&gt;&lt;/data&gt;</vt:lpwstr>
  </property>
</Properties>
</file>