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120" w:before="480"/>
        <w:jc w:val="center"/>
      </w:pPr>
      <w:r>
        <w:rPr>
          <w:rFonts w:ascii="Calibri" w:cs="Calibri" w:eastAsia="Calibri" w:hAnsi="Calibri"/>
          <w:b/>
          <w:bCs/>
          <w:color w:val="1F3864"/>
          <w:sz w:val="40"/>
          <w:szCs w:val="40"/>
        </w:rPr>
        <w:t xml:space="preserve">CRITICAL PEER REVIEW REPORT</w:t>
      </w:r>
    </w:p>
    <w:p>
      <w:pPr>
        <w:pBdr>
          <w:bottom w:val="single" w:color="2E75B6" w:sz="6" w:space="4"/>
        </w:pBdr>
        <w:spacing w:after="80" w:before="80"/>
        <w:jc w:val="center"/>
      </w:pPr>
      <w:r>
        <w:rPr>
          <w:rFonts w:ascii="Calibri" w:cs="Calibri" w:eastAsia="Calibri" w:hAnsi="Calibri"/>
          <w:b/>
          <w:bCs/>
          <w:color w:val="2E75B6"/>
          <w:sz w:val="26"/>
          <w:szCs w:val="26"/>
        </w:rPr>
        <w:t xml:space="preserve">HiClimaX: A High-resolution Climate Downscaling Multi-Approach System</w:t>
      </w:r>
    </w:p>
    <w:p>
      <w:pPr>
        <w:spacing w:after="60" w:before="60"/>
      </w:pPr>
      <w:r>
        <w:t xml:space="preserve"/>
      </w:r>
    </w:p>
    <w:p>
      <w:pPr>
        <w:spacing w:after="60" w:before="60"/>
        <w:jc w:val="center"/>
      </w:pPr>
      <w:r>
        <w:rPr>
          <w:rFonts w:ascii="Calibri" w:cs="Calibri" w:eastAsia="Calibri" w:hAnsi="Calibri"/>
          <w:color w:val="555555"/>
          <w:sz w:val="20"/>
          <w:szCs w:val="20"/>
        </w:rPr>
        <w:t xml:space="preserve">Quang-Van Doan | Center for Computational Sciences, University of Tsukuba, Japan</w:t>
      </w:r>
    </w:p>
    <w:p>
      <w:pPr>
        <w:spacing w:after="60" w:before="60"/>
        <w:jc w:val="center"/>
      </w:pPr>
      <w:r>
        <w:rPr>
          <w:rFonts w:ascii="Calibri" w:cs="Calibri" w:eastAsia="Calibri" w:hAnsi="Calibri"/>
          <w:i/>
          <w:iCs/>
          <w:color w:val="888888"/>
          <w:sz w:val="18"/>
          <w:szCs w:val="18"/>
        </w:rPr>
        <w:t xml:space="preserve">Review Date: March 15, 2026  |  Manuscript Status: Pre-Submission Draft</w:t>
      </w:r>
    </w:p>
    <w:p>
      <w:pPr>
        <w:spacing w:after="240" w:before="60"/>
        <w:jc w:val="center"/>
      </w:pPr>
      <w:r>
        <w:rPr>
          <w:rFonts w:ascii="Calibri" w:cs="Calibri" w:eastAsia="Calibri" w:hAnsi="Calibri"/>
          <w:i/>
          <w:iCs/>
          <w:color w:val="888888"/>
          <w:sz w:val="18"/>
          <w:szCs w:val="18"/>
        </w:rPr>
        <w:t xml:space="preserve">Target Journal: Geoscientific Model Development (GMD), Copernicus / EGU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4"/>
              <w:bottom w:val="single" w:color="2E75B6" w:sz="2"/>
              <w:right w:val="nil"/>
            </w:tcBorders>
            <w:shd w:fill="D6E4F0" w:val="clear"/>
            <w:tcMar>
              <w:top w:type="dxa" w:w="120"/>
              <w:left w:type="dxa" w:w="180"/>
              <w:bottom w:type="dxa" w:w="120"/>
              <w:right w:type="dxa" w:w="180"/>
            </w:tcMar>
          </w:tcPr>
          <w:p>
            <w:pPr>
              <w:spacing w:after="60" w:before="0"/>
            </w:pPr>
            <w:r>
              <w:rPr>
                <w:rFonts w:ascii="Calibri" w:cs="Calibri" w:eastAsia="Calibri" w:hAnsi="Calibri"/>
                <w:b/>
                <w:bCs/>
                <w:color w:val="2E75B6"/>
                <w:sz w:val="20"/>
                <w:szCs w:val="20"/>
              </w:rPr>
              <w:t xml:space="preserve">OVERALL ASSESSMENT</w:t>
            </w:r>
          </w:p>
          <w:p>
            <w:pPr>
              <w:spacing w:after="0" w:before="0"/>
            </w:pPr>
            <w:r>
              <w:rPr>
                <w:rFonts w:ascii="Calibri" w:cs="Calibri" w:eastAsia="Calibri" w:hAnsi="Calibri"/>
                <w:sz w:val="20"/>
                <w:szCs w:val="20"/>
              </w:rPr>
              <w:t xml:space="preserve">HiClimaX is a timely and ambitious initiative. The conceptual contribution — a unified, modular, multi-method urban climate downscaling framework — is genuinely valuable and aligns with recognized needs in the community (CORDEX, WCRP). However, in its current form the manuscript cannot be recommended for submission. Two full module descriptions are absent, the results section is entirely qualitative without figures or statistics, critical claims of novelty are unsubstantiated, and several methodological and software-documentation requirements of GMD-class papers are unmet. A substantial revision addressing the 14 major issues identified below is required before submission.</w:t>
            </w:r>
          </w:p>
        </w:tc>
      </w:tr>
    </w:tbl>
    <w:p>
      <w:pPr>
        <w:spacing w:after="60" w:before="60"/>
      </w:pPr>
      <w:r>
        <w:t xml:space="preserve"/>
      </w:r>
    </w:p>
    <w:p>
      <w:pPr>
        <w:pStyle w:val="Heading1"/>
        <w:pBdr>
          <w:bottom w:val="single" w:color="2E75B6" w:sz="8" w:space="4"/>
        </w:pBdr>
        <w:spacing w:after="120" w:before="360"/>
      </w:pPr>
      <w:r>
        <w:rPr>
          <w:rFonts w:ascii="Calibri" w:cs="Calibri" w:eastAsia="Calibri" w:hAnsi="Calibri"/>
          <w:b/>
          <w:bCs/>
          <w:color w:val="1F3864"/>
          <w:sz w:val="28"/>
          <w:szCs w:val="28"/>
        </w:rPr>
        <w:t xml:space="preserve">1. Assessment Scorecard</w:t>
      </w:r>
    </w:p>
    <w:p>
      <w:pPr>
        <w:spacing w:after="80" w:before="80" w:line="276" w:lineRule="auto"/>
      </w:pPr>
      <w:r>
        <w:rPr>
          <w:rFonts w:ascii="Calibri" w:cs="Calibri" w:eastAsia="Calibri" w:hAnsi="Calibri"/>
          <w:sz w:val="20"/>
          <w:szCs w:val="20"/>
        </w:rPr>
        <w:t xml:space="preserve">The table below summarises the current state of the manuscript across key review dimensions. Scores are on a 1–5 scale (5 = publication-ready; 1 = fundamental revision required).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Criterion</w:t>
            </w:r>
          </w:p>
        </w:tc>
        <w:tc>
          <w:tcPr>
            <w:tcW w:type="dxa" w:w="15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Score</w:t>
            </w:r>
          </w:p>
        </w:tc>
        <w:tc>
          <w:tcPr>
            <w:tcW w:type="dxa" w:w="48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Remarks</w:t>
            </w:r>
          </w:p>
        </w:tc>
      </w:tr>
      <w:tr>
        <w:tc>
          <w:tcPr>
            <w:tcW w:type="dxa" w:w="30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b/>
                <w:bCs/>
                <w:sz w:val="19"/>
                <w:szCs w:val="19"/>
              </w:rPr>
              <w:t xml:space="preserve">Novelty &amp; Conceptual Contribution</w:t>
            </w:r>
          </w:p>
        </w:tc>
        <w:tc>
          <w:tcPr>
            <w:tcW w:type="dxa" w:w="1500"/>
            <w:tcBorders>
              <w:top w:val="single" w:color="DDDDDD" w:sz="2"/>
              <w:left w:val="single" w:color="DDDDDD" w:sz="2"/>
              <w:bottom w:val="single" w:color="DDDDDD" w:sz="2"/>
              <w:right w:val="single" w:color="DDDDDD" w:sz="2"/>
            </w:tcBorders>
            <w:shd w:fill="C6EFCE" w:val="clear"/>
            <w:tcMar>
              <w:top w:type="dxa" w:w="80"/>
              <w:left w:type="dxa" w:w="120"/>
              <w:bottom w:type="dxa" w:w="80"/>
              <w:right w:type="dxa" w:w="120"/>
            </w:tcMar>
          </w:tcPr>
          <w:p>
            <w:pPr>
              <w:jc w:val="center"/>
            </w:pPr>
            <w:r>
              <w:rPr>
                <w:rFonts w:ascii="Courier New" w:cs="Courier New" w:eastAsia="Courier New" w:hAnsi="Courier New"/>
                <w:color w:val="000000"/>
                <w:sz w:val="18"/>
                <w:szCs w:val="18"/>
              </w:rPr>
              <w:t xml:space="preserve">■■■■□  4/5</w:t>
            </w:r>
          </w:p>
        </w:tc>
        <w:tc>
          <w:tcPr>
            <w:tcW w:type="dxa" w:w="48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sz w:val="18"/>
                <w:szCs w:val="18"/>
              </w:rPr>
              <w:t xml:space="preserve">The integration of 6 methods in one framework is genuinely novel; novelty claims need tighter substantiation against existing toolboxes.</w:t>
            </w:r>
          </w:p>
        </w:tc>
      </w:tr>
      <w:tr>
        <w:tc>
          <w:tcPr>
            <w:tcW w:type="dxa" w:w="30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b/>
                <w:bCs/>
                <w:sz w:val="19"/>
                <w:szCs w:val="19"/>
              </w:rPr>
              <w:t xml:space="preserve">Completeness of Manuscript</w:t>
            </w:r>
          </w:p>
        </w:tc>
        <w:tc>
          <w:tcPr>
            <w:tcW w:type="dxa" w:w="1500"/>
            <w:tcBorders>
              <w:top w:val="single" w:color="DDDDDD" w:sz="2"/>
              <w:left w:val="single" w:color="DDDDDD" w:sz="2"/>
              <w:bottom w:val="single" w:color="DDDDDD" w:sz="2"/>
              <w:right w:val="single" w:color="DDDDDD" w:sz="2"/>
            </w:tcBorders>
            <w:shd w:fill="FCE4D6" w:val="clear"/>
            <w:tcMar>
              <w:top w:type="dxa" w:w="80"/>
              <w:left w:type="dxa" w:w="120"/>
              <w:bottom w:type="dxa" w:w="80"/>
              <w:right w:type="dxa" w:w="120"/>
            </w:tcMar>
          </w:tcPr>
          <w:p>
            <w:pPr>
              <w:jc w:val="center"/>
            </w:pPr>
            <w:r>
              <w:rPr>
                <w:rFonts w:ascii="Courier New" w:cs="Courier New" w:eastAsia="Courier New" w:hAnsi="Courier New"/>
                <w:color w:val="000000"/>
                <w:sz w:val="18"/>
                <w:szCs w:val="18"/>
              </w:rPr>
              <w:t xml:space="preserve">■□□□□  1/5</w:t>
            </w:r>
          </w:p>
        </w:tc>
        <w:tc>
          <w:tcPr>
            <w:tcW w:type="dxa" w:w="48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sz w:val="18"/>
                <w:szCs w:val="18"/>
              </w:rPr>
              <w:t xml:space="preserve">Two sections (SD-DS, SDS) are entirely empty. Author contributions, code links, acknowledgements are placeholder text.</w:t>
            </w:r>
          </w:p>
        </w:tc>
      </w:tr>
      <w:tr>
        <w:tc>
          <w:tcPr>
            <w:tcW w:type="dxa" w:w="30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b/>
                <w:bCs/>
                <w:sz w:val="19"/>
                <w:szCs w:val="19"/>
              </w:rPr>
              <w:t xml:space="preserve">Scientific Rigour of Results</w:t>
            </w:r>
          </w:p>
        </w:tc>
        <w:tc>
          <w:tcPr>
            <w:tcW w:type="dxa" w:w="1500"/>
            <w:tcBorders>
              <w:top w:val="single" w:color="DDDDDD" w:sz="2"/>
              <w:left w:val="single" w:color="DDDDDD" w:sz="2"/>
              <w:bottom w:val="single" w:color="DDDDDD" w:sz="2"/>
              <w:right w:val="single" w:color="DDDDDD" w:sz="2"/>
            </w:tcBorders>
            <w:shd w:fill="FCE4D6" w:val="clear"/>
            <w:tcMar>
              <w:top w:type="dxa" w:w="80"/>
              <w:left w:type="dxa" w:w="120"/>
              <w:bottom w:type="dxa" w:w="80"/>
              <w:right w:type="dxa" w:w="120"/>
            </w:tcMar>
          </w:tcPr>
          <w:p>
            <w:pPr>
              <w:jc w:val="center"/>
            </w:pPr>
            <w:r>
              <w:rPr>
                <w:rFonts w:ascii="Courier New" w:cs="Courier New" w:eastAsia="Courier New" w:hAnsi="Courier New"/>
                <w:color w:val="000000"/>
                <w:sz w:val="18"/>
                <w:szCs w:val="18"/>
              </w:rPr>
              <w:t xml:space="preserve">■■□□□  2/5</w:t>
            </w:r>
          </w:p>
        </w:tc>
        <w:tc>
          <w:tcPr>
            <w:tcW w:type="dxa" w:w="48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sz w:val="18"/>
                <w:szCs w:val="18"/>
              </w:rPr>
              <w:t xml:space="preserve">Section 4 is qualitative narrative. No skill scores, Taylor diagrams, bias tables, or statistical validation metrics are provided.</w:t>
            </w:r>
          </w:p>
        </w:tc>
      </w:tr>
      <w:tr>
        <w:tc>
          <w:tcPr>
            <w:tcW w:type="dxa" w:w="30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b/>
                <w:bCs/>
                <w:sz w:val="19"/>
                <w:szCs w:val="19"/>
              </w:rPr>
              <w:t xml:space="preserve">Proof-of-Concept / Experiments</w:t>
            </w:r>
          </w:p>
        </w:tc>
        <w:tc>
          <w:tcPr>
            <w:tcW w:type="dxa" w:w="1500"/>
            <w:tcBorders>
              <w:top w:val="single" w:color="DDDDDD" w:sz="2"/>
              <w:left w:val="single" w:color="DDDDDD" w:sz="2"/>
              <w:bottom w:val="single" w:color="DDDDDD" w:sz="2"/>
              <w:right w:val="single" w:color="DDDDDD" w:sz="2"/>
            </w:tcBorders>
            <w:shd w:fill="FCE4D6" w:val="clear"/>
            <w:tcMar>
              <w:top w:type="dxa" w:w="80"/>
              <w:left w:type="dxa" w:w="120"/>
              <w:bottom w:type="dxa" w:w="80"/>
              <w:right w:type="dxa" w:w="120"/>
            </w:tcMar>
          </w:tcPr>
          <w:p>
            <w:pPr>
              <w:jc w:val="center"/>
            </w:pPr>
            <w:r>
              <w:rPr>
                <w:rFonts w:ascii="Courier New" w:cs="Courier New" w:eastAsia="Courier New" w:hAnsi="Courier New"/>
                <w:color w:val="000000"/>
                <w:sz w:val="18"/>
                <w:szCs w:val="18"/>
              </w:rPr>
              <w:t xml:space="preserve">■■□□□  2/5</w:t>
            </w:r>
          </w:p>
        </w:tc>
        <w:tc>
          <w:tcPr>
            <w:tcW w:type="dxa" w:w="48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sz w:val="18"/>
                <w:szCs w:val="18"/>
              </w:rPr>
              <w:t xml:space="preserve">Proof-of-concept is described but no figures are referenced in results. Quantitative benchmarks are absent.</w:t>
            </w:r>
          </w:p>
        </w:tc>
      </w:tr>
      <w:tr>
        <w:tc>
          <w:tcPr>
            <w:tcW w:type="dxa" w:w="30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b/>
                <w:bCs/>
                <w:sz w:val="19"/>
                <w:szCs w:val="19"/>
              </w:rPr>
              <w:t xml:space="preserve">Uncertainty Quantification</w:t>
            </w:r>
          </w:p>
        </w:tc>
        <w:tc>
          <w:tcPr>
            <w:tcW w:type="dxa" w:w="1500"/>
            <w:tcBorders>
              <w:top w:val="single" w:color="DDDDDD" w:sz="2"/>
              <w:left w:val="single" w:color="DDDDDD" w:sz="2"/>
              <w:bottom w:val="single" w:color="DDDDDD" w:sz="2"/>
              <w:right w:val="single" w:color="DDDDDD" w:sz="2"/>
            </w:tcBorders>
            <w:shd w:fill="FFF2CC" w:val="clear"/>
            <w:tcMar>
              <w:top w:type="dxa" w:w="80"/>
              <w:left w:type="dxa" w:w="120"/>
              <w:bottom w:type="dxa" w:w="80"/>
              <w:right w:type="dxa" w:w="120"/>
            </w:tcMar>
          </w:tcPr>
          <w:p>
            <w:pPr>
              <w:jc w:val="center"/>
            </w:pPr>
            <w:r>
              <w:rPr>
                <w:rFonts w:ascii="Courier New" w:cs="Courier New" w:eastAsia="Courier New" w:hAnsi="Courier New"/>
                <w:color w:val="000000"/>
                <w:sz w:val="18"/>
                <w:szCs w:val="18"/>
              </w:rPr>
              <w:t xml:space="preserve">■■□□□  2/5</w:t>
            </w:r>
          </w:p>
        </w:tc>
        <w:tc>
          <w:tcPr>
            <w:tcW w:type="dxa" w:w="48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sz w:val="18"/>
                <w:szCs w:val="18"/>
              </w:rPr>
              <w:t xml:space="preserve">Ensemble spread values are mentioned but methodology (weighting, combination scheme) is not described.</w:t>
            </w:r>
          </w:p>
        </w:tc>
      </w:tr>
      <w:tr>
        <w:tc>
          <w:tcPr>
            <w:tcW w:type="dxa" w:w="30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b/>
                <w:bCs/>
                <w:sz w:val="19"/>
                <w:szCs w:val="19"/>
              </w:rPr>
              <w:t xml:space="preserve">Software Documentation</w:t>
            </w:r>
          </w:p>
        </w:tc>
        <w:tc>
          <w:tcPr>
            <w:tcW w:type="dxa" w:w="1500"/>
            <w:tcBorders>
              <w:top w:val="single" w:color="DDDDDD" w:sz="2"/>
              <w:left w:val="single" w:color="DDDDDD" w:sz="2"/>
              <w:bottom w:val="single" w:color="DDDDDD" w:sz="2"/>
              <w:right w:val="single" w:color="DDDDDD" w:sz="2"/>
            </w:tcBorders>
            <w:shd w:fill="FCE4D6" w:val="clear"/>
            <w:tcMar>
              <w:top w:type="dxa" w:w="80"/>
              <w:left w:type="dxa" w:w="120"/>
              <w:bottom w:type="dxa" w:w="80"/>
              <w:right w:type="dxa" w:w="120"/>
            </w:tcMar>
          </w:tcPr>
          <w:p>
            <w:pPr>
              <w:jc w:val="center"/>
            </w:pPr>
            <w:r>
              <w:rPr>
                <w:rFonts w:ascii="Courier New" w:cs="Courier New" w:eastAsia="Courier New" w:hAnsi="Courier New"/>
                <w:color w:val="000000"/>
                <w:sz w:val="18"/>
                <w:szCs w:val="18"/>
              </w:rPr>
              <w:t xml:space="preserve">■□□□□  1/5</w:t>
            </w:r>
          </w:p>
        </w:tc>
        <w:tc>
          <w:tcPr>
            <w:tcW w:type="dxa" w:w="48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sz w:val="18"/>
                <w:szCs w:val="18"/>
              </w:rPr>
              <w:t xml:space="preserve">No repository structure, installation guide, dependencies, containerisation, or testing framework are described.</w:t>
            </w:r>
          </w:p>
        </w:tc>
      </w:tr>
      <w:tr>
        <w:tc>
          <w:tcPr>
            <w:tcW w:type="dxa" w:w="30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b/>
                <w:bCs/>
                <w:sz w:val="19"/>
                <w:szCs w:val="19"/>
              </w:rPr>
              <w:t xml:space="preserve">Language &amp; Academic Writing</w:t>
            </w:r>
          </w:p>
        </w:tc>
        <w:tc>
          <w:tcPr>
            <w:tcW w:type="dxa" w:w="1500"/>
            <w:tcBorders>
              <w:top w:val="single" w:color="DDDDDD" w:sz="2"/>
              <w:left w:val="single" w:color="DDDDDD" w:sz="2"/>
              <w:bottom w:val="single" w:color="DDDDDD" w:sz="2"/>
              <w:right w:val="single" w:color="DDDDDD" w:sz="2"/>
            </w:tcBorders>
            <w:shd w:fill="FFF2CC" w:val="clear"/>
            <w:tcMar>
              <w:top w:type="dxa" w:w="80"/>
              <w:left w:type="dxa" w:w="120"/>
              <w:bottom w:type="dxa" w:w="80"/>
              <w:right w:type="dxa" w:w="120"/>
            </w:tcMar>
          </w:tcPr>
          <w:p>
            <w:pPr>
              <w:jc w:val="center"/>
            </w:pPr>
            <w:r>
              <w:rPr>
                <w:rFonts w:ascii="Courier New" w:cs="Courier New" w:eastAsia="Courier New" w:hAnsi="Courier New"/>
                <w:color w:val="000000"/>
                <w:sz w:val="18"/>
                <w:szCs w:val="18"/>
              </w:rPr>
              <w:t xml:space="preserve">■■■□□  3/5</w:t>
            </w:r>
          </w:p>
        </w:tc>
        <w:tc>
          <w:tcPr>
            <w:tcW w:type="dxa" w:w="48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sz w:val="18"/>
                <w:szCs w:val="18"/>
              </w:rPr>
              <w:t xml:space="preserve">Writing is generally fluent but several typos, a sentence fragment, and redundant passages remain.</w:t>
            </w:r>
          </w:p>
        </w:tc>
      </w:tr>
      <w:tr>
        <w:tc>
          <w:tcPr>
            <w:tcW w:type="dxa" w:w="30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b/>
                <w:bCs/>
                <w:sz w:val="19"/>
                <w:szCs w:val="19"/>
              </w:rPr>
              <w:t xml:space="preserve">Reference Quality &amp; Completeness</w:t>
            </w:r>
          </w:p>
        </w:tc>
        <w:tc>
          <w:tcPr>
            <w:tcW w:type="dxa" w:w="1500"/>
            <w:tcBorders>
              <w:top w:val="single" w:color="DDDDDD" w:sz="2"/>
              <w:left w:val="single" w:color="DDDDDD" w:sz="2"/>
              <w:bottom w:val="single" w:color="DDDDDD" w:sz="2"/>
              <w:right w:val="single" w:color="DDDDDD" w:sz="2"/>
            </w:tcBorders>
            <w:shd w:fill="FFF2CC" w:val="clear"/>
            <w:tcMar>
              <w:top w:type="dxa" w:w="80"/>
              <w:left w:type="dxa" w:w="120"/>
              <w:bottom w:type="dxa" w:w="80"/>
              <w:right w:type="dxa" w:w="120"/>
            </w:tcMar>
          </w:tcPr>
          <w:p>
            <w:pPr>
              <w:jc w:val="center"/>
            </w:pPr>
            <w:r>
              <w:rPr>
                <w:rFonts w:ascii="Courier New" w:cs="Courier New" w:eastAsia="Courier New" w:hAnsi="Courier New"/>
                <w:color w:val="000000"/>
                <w:sz w:val="18"/>
                <w:szCs w:val="18"/>
              </w:rPr>
              <w:t xml:space="preserve">■■■□□  3/5</w:t>
            </w:r>
          </w:p>
        </w:tc>
        <w:tc>
          <w:tcPr>
            <w:tcW w:type="dxa" w:w="48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sz w:val="18"/>
                <w:szCs w:val="18"/>
              </w:rPr>
              <w:t xml:space="preserve">References are numerous but improperly formatted (run-on block). Several key citations are missing.</w:t>
            </w:r>
          </w:p>
        </w:tc>
      </w:tr>
      <w:tr>
        <w:tc>
          <w:tcPr>
            <w:tcW w:type="dxa" w:w="30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b/>
                <w:bCs/>
                <w:sz w:val="19"/>
                <w:szCs w:val="19"/>
              </w:rPr>
              <w:t xml:space="preserve">Figures &amp; Tables</w:t>
            </w:r>
          </w:p>
        </w:tc>
        <w:tc>
          <w:tcPr>
            <w:tcW w:type="dxa" w:w="1500"/>
            <w:tcBorders>
              <w:top w:val="single" w:color="DDDDDD" w:sz="2"/>
              <w:left w:val="single" w:color="DDDDDD" w:sz="2"/>
              <w:bottom w:val="single" w:color="DDDDDD" w:sz="2"/>
              <w:right w:val="single" w:color="DDDDDD" w:sz="2"/>
            </w:tcBorders>
            <w:shd w:fill="FCE4D6" w:val="clear"/>
            <w:tcMar>
              <w:top w:type="dxa" w:w="80"/>
              <w:left w:type="dxa" w:w="120"/>
              <w:bottom w:type="dxa" w:w="80"/>
              <w:right w:type="dxa" w:w="120"/>
            </w:tcMar>
          </w:tcPr>
          <w:p>
            <w:pPr>
              <w:jc w:val="center"/>
            </w:pPr>
            <w:r>
              <w:rPr>
                <w:rFonts w:ascii="Courier New" w:cs="Courier New" w:eastAsia="Courier New" w:hAnsi="Courier New"/>
                <w:color w:val="000000"/>
                <w:sz w:val="18"/>
                <w:szCs w:val="18"/>
              </w:rPr>
              <w:t xml:space="preserve">■□□□□  1/5</w:t>
            </w:r>
          </w:p>
        </w:tc>
        <w:tc>
          <w:tcPr>
            <w:tcW w:type="dxa" w:w="48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sz w:val="18"/>
                <w:szCs w:val="18"/>
              </w:rPr>
              <w:t xml:space="preserve">No figures with captions cited in the results. One figure placeholder only. Table X carries a placeholder number.</w:t>
            </w:r>
          </w:p>
        </w:tc>
      </w:tr>
      <w:tr>
        <w:tc>
          <w:tcPr>
            <w:tcW w:type="dxa" w:w="30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b/>
                <w:bCs/>
                <w:sz w:val="19"/>
                <w:szCs w:val="19"/>
              </w:rPr>
              <w:t xml:space="preserve">Ethical / Reproducibility Standards</w:t>
            </w:r>
          </w:p>
        </w:tc>
        <w:tc>
          <w:tcPr>
            <w:tcW w:type="dxa" w:w="1500"/>
            <w:tcBorders>
              <w:top w:val="single" w:color="DDDDDD" w:sz="2"/>
              <w:left w:val="single" w:color="DDDDDD" w:sz="2"/>
              <w:bottom w:val="single" w:color="DDDDDD" w:sz="2"/>
              <w:right w:val="single" w:color="DDDDDD" w:sz="2"/>
            </w:tcBorders>
            <w:shd w:fill="FFF2CC" w:val="clear"/>
            <w:tcMar>
              <w:top w:type="dxa" w:w="80"/>
              <w:left w:type="dxa" w:w="120"/>
              <w:bottom w:type="dxa" w:w="80"/>
              <w:right w:type="dxa" w:w="120"/>
            </w:tcMar>
          </w:tcPr>
          <w:p>
            <w:pPr>
              <w:jc w:val="center"/>
            </w:pPr>
            <w:r>
              <w:rPr>
                <w:rFonts w:ascii="Courier New" w:cs="Courier New" w:eastAsia="Courier New" w:hAnsi="Courier New"/>
                <w:color w:val="000000"/>
                <w:sz w:val="18"/>
                <w:szCs w:val="18"/>
              </w:rPr>
              <w:t xml:space="preserve">■■■□□  3/5</w:t>
            </w:r>
          </w:p>
        </w:tc>
        <w:tc>
          <w:tcPr>
            <w:tcW w:type="dxa" w:w="48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alibri" w:cs="Calibri" w:eastAsia="Calibri" w:hAnsi="Calibri"/>
                <w:sz w:val="18"/>
                <w:szCs w:val="18"/>
              </w:rPr>
              <w:t xml:space="preserve">Open-source intent is stated but no DOI, license, or test-suite details are given.</w:t>
            </w:r>
          </w:p>
        </w:tc>
      </w:tr>
    </w:tbl>
    <w:p>
      <w:pPr>
        <w:spacing w:after="60" w:before="60"/>
      </w:pPr>
      <w:r>
        <w:t xml:space="preserve"/>
      </w:r>
    </w:p>
    <w:p>
      <w:pPr>
        <w:pStyle w:val="Heading1"/>
        <w:pBdr>
          <w:bottom w:val="single" w:color="2E75B6" w:sz="8" w:space="4"/>
        </w:pBdr>
        <w:spacing w:after="120" w:before="360"/>
      </w:pPr>
      <w:r>
        <w:rPr>
          <w:rFonts w:ascii="Calibri" w:cs="Calibri" w:eastAsia="Calibri" w:hAnsi="Calibri"/>
          <w:b/>
          <w:bCs/>
          <w:color w:val="1F3864"/>
          <w:sz w:val="28"/>
          <w:szCs w:val="28"/>
        </w:rPr>
        <w:t xml:space="preserve">2. Major Issues Requiring Resolution</w:t>
      </w:r>
    </w:p>
    <w:p>
      <w:pPr>
        <w:pStyle w:val="Heading2"/>
        <w:spacing w:after="80" w:before="240"/>
      </w:pPr>
      <w:r>
        <w:rPr>
          <w:rFonts w:ascii="Calibri" w:cs="Calibri" w:eastAsia="Calibri" w:hAnsi="Calibri"/>
          <w:b/>
          <w:bCs/>
          <w:color w:val="2E75B6"/>
          <w:sz w:val="24"/>
          <w:szCs w:val="24"/>
        </w:rPr>
        <w:t xml:space="preserve">M1 — Two Module Descriptions Are Entirely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thick" w:color="C00000" w:sz="24"/>
              <w:bottom w:val="single" w:color="C00000" w:sz="2"/>
              <w:right w:val="nil"/>
            </w:tcBorders>
            <w:shd w:fill="FCE4D6" w:val="clear"/>
            <w:tcMar>
              <w:top w:type="dxa" w:w="120"/>
              <w:left w:type="dxa" w:w="180"/>
              <w:bottom w:type="dxa" w:w="120"/>
              <w:right w:type="dxa" w:w="180"/>
            </w:tcMar>
          </w:tcPr>
          <w:p>
            <w:pPr>
              <w:spacing w:after="60" w:before="0"/>
            </w:pPr>
            <w:r>
              <w:rPr>
                <w:rFonts w:ascii="Calibri" w:cs="Calibri" w:eastAsia="Calibri" w:hAnsi="Calibri"/>
                <w:b/>
                <w:bCs/>
                <w:color w:val="C00000"/>
                <w:sz w:val="20"/>
                <w:szCs w:val="20"/>
              </w:rPr>
              <w:t xml:space="preserve">CRITICAL</w:t>
            </w:r>
          </w:p>
          <w:p>
            <w:pPr>
              <w:spacing w:after="0" w:before="0"/>
            </w:pPr>
            <w:r>
              <w:rPr>
                <w:rFonts w:ascii="Calibri" w:cs="Calibri" w:eastAsia="Calibri" w:hAnsi="Calibri"/>
                <w:sz w:val="20"/>
                <w:szCs w:val="20"/>
              </w:rPr>
              <w:t xml:space="preserve">Section 2.1(c) (Statistical–Dynamical Downscaling) and Section 2.1(e) (Statistical Downscaling) consist solely of headers with no body text. These represent two of the six core modules the paper claims to integrate. Submitting with absent sections is unacceptable for any peer-reviewed venue.</w:t>
            </w:r>
          </w:p>
        </w:tc>
      </w:tr>
    </w:tbl>
    <w:p>
      <w:pPr>
        <w:spacing w:after="60" w:before="60"/>
      </w:pPr>
      <w:r>
        <w:t xml:space="preserve"/>
      </w:r>
    </w:p>
    <w:p>
      <w:pPr>
        <w:spacing w:after="80" w:before="80" w:line="276" w:lineRule="auto"/>
      </w:pPr>
      <w:r>
        <w:rPr>
          <w:rFonts w:ascii="Calibri" w:cs="Calibri" w:eastAsia="Calibri" w:hAnsi="Calibri"/>
          <w:sz w:val="20"/>
          <w:szCs w:val="20"/>
        </w:rPr>
        <w:t xml:space="preserve">Both missing sections must be written to the same standard as the completed modules (e.g., Section 2.1(d) on LSP-DS). Each should cover:</w:t>
      </w:r>
    </w:p>
    <w:p>
      <w:pPr>
        <w:pStyle w:val="ListParagraph"/>
        <w:numPr>
          <w:ilvl w:val="0"/>
          <w:numId w:val="2"/>
        </w:numPr>
        <w:spacing w:after="60" w:before="60"/>
      </w:pPr>
      <w:r>
        <w:rPr>
          <w:rFonts w:ascii="Calibri" w:cs="Calibri" w:eastAsia="Calibri" w:hAnsi="Calibri"/>
          <w:sz w:val="20"/>
          <w:szCs w:val="20"/>
        </w:rPr>
        <w:t xml:space="preserve">Methodological basis and governing equations or learning paradigm</w:t>
      </w:r>
    </w:p>
    <w:p>
      <w:pPr>
        <w:pStyle w:val="ListParagraph"/>
        <w:numPr>
          <w:ilvl w:val="0"/>
          <w:numId w:val="2"/>
        </w:numPr>
        <w:spacing w:after="60" w:before="60"/>
      </w:pPr>
      <w:r>
        <w:rPr>
          <w:rFonts w:ascii="Calibri" w:cs="Calibri" w:eastAsia="Calibri" w:hAnsi="Calibri"/>
          <w:sz w:val="20"/>
          <w:szCs w:val="20"/>
        </w:rPr>
        <w:t xml:space="preserve">Specific models or schemes implemented (e.g., SDSM, BCSD, weather typing, analog methods for SD-DS; SDSM, delta-change, quantile mapping for SDS)</w:t>
      </w:r>
    </w:p>
    <w:p>
      <w:pPr>
        <w:pStyle w:val="ListParagraph"/>
        <w:numPr>
          <w:ilvl w:val="0"/>
          <w:numId w:val="2"/>
        </w:numPr>
        <w:spacing w:after="60" w:before="60"/>
      </w:pPr>
      <w:r>
        <w:rPr>
          <w:rFonts w:ascii="Calibri" w:cs="Calibri" w:eastAsia="Calibri" w:hAnsi="Calibri"/>
          <w:sz w:val="20"/>
          <w:szCs w:val="20"/>
        </w:rPr>
        <w:t xml:space="preserve">Relevant published case studies demonstrating application in urban contexts</w:t>
      </w:r>
    </w:p>
    <w:p>
      <w:pPr>
        <w:pStyle w:val="ListParagraph"/>
        <w:numPr>
          <w:ilvl w:val="0"/>
          <w:numId w:val="2"/>
        </w:numPr>
        <w:spacing w:after="60" w:before="60"/>
      </w:pPr>
      <w:r>
        <w:rPr>
          <w:rFonts w:ascii="Calibri" w:cs="Calibri" w:eastAsia="Calibri" w:hAnsi="Calibri"/>
          <w:sz w:val="20"/>
          <w:szCs w:val="20"/>
        </w:rPr>
        <w:t xml:space="preserve">Known advantages and limitations relevant to the HiClimaX ensemble framework</w:t>
      </w:r>
    </w:p>
    <w:p>
      <w:pPr>
        <w:pStyle w:val="ListParagraph"/>
        <w:numPr>
          <w:ilvl w:val="0"/>
          <w:numId w:val="2"/>
        </w:numPr>
        <w:spacing w:after="60" w:before="60"/>
      </w:pPr>
      <w:r>
        <w:rPr>
          <w:rFonts w:ascii="Calibri" w:cs="Calibri" w:eastAsia="Calibri" w:hAnsi="Calibri"/>
          <w:sz w:val="20"/>
          <w:szCs w:val="20"/>
        </w:rPr>
        <w:t xml:space="preserve">Role within HiClimaX and how the module connects to the data interface and postprocessing layer</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M2 — Results Section Lacks Any Quantitative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thick" w:color="C00000" w:sz="24"/>
              <w:bottom w:val="single" w:color="C00000" w:sz="2"/>
              <w:right w:val="nil"/>
            </w:tcBorders>
            <w:shd w:fill="FCE4D6" w:val="clear"/>
            <w:tcMar>
              <w:top w:type="dxa" w:w="120"/>
              <w:left w:type="dxa" w:w="180"/>
              <w:bottom w:type="dxa" w:w="120"/>
              <w:right w:type="dxa" w:w="180"/>
            </w:tcMar>
          </w:tcPr>
          <w:p>
            <w:pPr>
              <w:spacing w:after="60" w:before="0"/>
            </w:pPr>
            <w:r>
              <w:rPr>
                <w:rFonts w:ascii="Calibri" w:cs="Calibri" w:eastAsia="Calibri" w:hAnsi="Calibri"/>
                <w:b/>
                <w:bCs/>
                <w:color w:val="C00000"/>
                <w:sz w:val="20"/>
                <w:szCs w:val="20"/>
              </w:rPr>
              <w:t xml:space="preserve">CRITICAL</w:t>
            </w:r>
          </w:p>
          <w:p>
            <w:pPr>
              <w:spacing w:after="0" w:before="0"/>
            </w:pPr>
            <w:r>
              <w:rPr>
                <w:rFonts w:ascii="Calibri" w:cs="Calibri" w:eastAsia="Calibri" w:hAnsi="Calibri"/>
                <w:sz w:val="20"/>
                <w:szCs w:val="20"/>
              </w:rPr>
              <w:t xml:space="preserve">Section 4 (Evaluation and Results) contains no figures, no statistical metrics, no bias tables, and no validation scores. All claims are stated as narrative without supporting data. For a GMD-class manuscript introducing a modelling framework, quantitative demonstration of skill is mandatory.</w:t>
            </w:r>
          </w:p>
        </w:tc>
      </w:tr>
    </w:tbl>
    <w:p>
      <w:pPr>
        <w:spacing w:after="60" w:before="60"/>
      </w:pPr>
      <w:r>
        <w:t xml:space="preserve"/>
      </w:r>
    </w:p>
    <w:p>
      <w:pPr>
        <w:spacing w:after="80" w:before="80" w:line="276" w:lineRule="auto"/>
      </w:pPr>
      <w:r>
        <w:rPr>
          <w:rFonts w:ascii="Calibri" w:cs="Calibri" w:eastAsia="Calibri" w:hAnsi="Calibri"/>
          <w:sz w:val="20"/>
          <w:szCs w:val="20"/>
        </w:rPr>
        <w:t xml:space="preserve">To meet publication standards, the following must be added:</w:t>
      </w:r>
    </w:p>
    <w:p>
      <w:pPr>
        <w:pStyle w:val="ListParagraph"/>
        <w:numPr>
          <w:ilvl w:val="0"/>
          <w:numId w:val="2"/>
        </w:numPr>
        <w:spacing w:after="60" w:before="60"/>
      </w:pPr>
      <w:r>
        <w:rPr>
          <w:rFonts w:ascii="Calibri" w:cs="Calibri" w:eastAsia="Calibri" w:hAnsi="Calibri"/>
          <w:sz w:val="20"/>
          <w:szCs w:val="20"/>
        </w:rPr>
        <w:t xml:space="preserve">Taylor diagrams or skill-score tables for each module against observations (IMERG, CMORPH, station data) for at least temperature and precipitation, for each of the three case study cities</w:t>
      </w:r>
    </w:p>
    <w:p>
      <w:pPr>
        <w:pStyle w:val="ListParagraph"/>
        <w:numPr>
          <w:ilvl w:val="0"/>
          <w:numId w:val="2"/>
        </w:numPr>
        <w:spacing w:after="60" w:before="60"/>
      </w:pPr>
      <w:r>
        <w:rPr>
          <w:rFonts w:ascii="Calibri" w:cs="Calibri" w:eastAsia="Calibri" w:hAnsi="Calibri"/>
          <w:sz w:val="20"/>
          <w:szCs w:val="20"/>
        </w:rPr>
        <w:t xml:space="preserve">Bias maps (spatial) showing mean error and root-mean-square error for the baseline period 1991–2020</w:t>
      </w:r>
    </w:p>
    <w:p>
      <w:pPr>
        <w:pStyle w:val="ListParagraph"/>
        <w:numPr>
          <w:ilvl w:val="0"/>
          <w:numId w:val="2"/>
        </w:numPr>
        <w:spacing w:after="60" w:before="60"/>
      </w:pPr>
      <w:r>
        <w:rPr>
          <w:rFonts w:ascii="Calibri" w:cs="Calibri" w:eastAsia="Calibri" w:hAnsi="Calibri"/>
          <w:sz w:val="20"/>
          <w:szCs w:val="20"/>
        </w:rPr>
        <w:t xml:space="preserve">Inter-method spread plots: box plots or violin plots of seasonal mean and extreme indices across all six modules, demonstrating the value of ensemble integration</w:t>
      </w:r>
    </w:p>
    <w:p>
      <w:pPr>
        <w:pStyle w:val="ListParagraph"/>
        <w:numPr>
          <w:ilvl w:val="0"/>
          <w:numId w:val="2"/>
        </w:numPr>
        <w:spacing w:after="60" w:before="60"/>
      </w:pPr>
      <w:r>
        <w:rPr>
          <w:rFonts w:ascii="Calibri" w:cs="Calibri" w:eastAsia="Calibri" w:hAnsi="Calibri"/>
          <w:sz w:val="20"/>
          <w:szCs w:val="20"/>
        </w:rPr>
        <w:t xml:space="preserve">Validation of extreme event representation: Q–Q plots or GEV fits comparing return-level estimates from each module against observations or reanalysis for selected extreme episodes</w:t>
      </w:r>
    </w:p>
    <w:p>
      <w:pPr>
        <w:pStyle w:val="ListParagraph"/>
        <w:numPr>
          <w:ilvl w:val="0"/>
          <w:numId w:val="2"/>
        </w:numPr>
        <w:spacing w:after="60" w:before="60"/>
      </w:pPr>
      <w:r>
        <w:rPr>
          <w:rFonts w:ascii="Calibri" w:cs="Calibri" w:eastAsia="Calibri" w:hAnsi="Calibri"/>
          <w:sz w:val="20"/>
          <w:szCs w:val="20"/>
        </w:rPr>
        <w:t xml:space="preserve">For the AI-based module: training/validation loss curves, and evaluation on a held-out test period</w:t>
      </w:r>
    </w:p>
    <w:p>
      <w:pPr>
        <w:pStyle w:val="ListParagraph"/>
        <w:numPr>
          <w:ilvl w:val="0"/>
          <w:numId w:val="2"/>
        </w:numPr>
        <w:spacing w:after="60" w:before="60"/>
      </w:pPr>
      <w:r>
        <w:rPr>
          <w:rFonts w:ascii="Calibri" w:cs="Calibri" w:eastAsia="Calibri" w:hAnsi="Calibri"/>
          <w:sz w:val="20"/>
          <w:szCs w:val="20"/>
        </w:rPr>
        <w:t xml:space="preserve">Time series comparison for urban heat island intensity at Tokyo: modelled vs. observed 2 m temperature differences between urban and rural stations, for at least one representative summer</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M3 — Novelty Claims Are Overstated and Unsubstantiated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thick" w:color="C00000" w:sz="24"/>
              <w:bottom w:val="single" w:color="C00000" w:sz="2"/>
              <w:right w:val="nil"/>
            </w:tcBorders>
            <w:shd w:fill="FCE4D6" w:val="clear"/>
            <w:tcMar>
              <w:top w:type="dxa" w:w="120"/>
              <w:left w:type="dxa" w:w="180"/>
              <w:bottom w:type="dxa" w:w="120"/>
              <w:right w:type="dxa" w:w="180"/>
            </w:tcMar>
          </w:tcPr>
          <w:p>
            <w:pPr>
              <w:spacing w:after="60" w:before="0"/>
            </w:pPr>
            <w:r>
              <w:rPr>
                <w:rFonts w:ascii="Calibri" w:cs="Calibri" w:eastAsia="Calibri" w:hAnsi="Calibri"/>
                <w:b/>
                <w:bCs/>
                <w:color w:val="C00000"/>
                <w:sz w:val="20"/>
                <w:szCs w:val="20"/>
              </w:rPr>
              <w:t xml:space="preserve">MAJOR</w:t>
            </w:r>
          </w:p>
          <w:p>
            <w:pPr>
              <w:spacing w:after="0" w:before="0"/>
            </w:pPr>
            <w:r>
              <w:rPr>
                <w:rFonts w:ascii="Calibri" w:cs="Calibri" w:eastAsia="Calibri" w:hAnsi="Calibri"/>
                <w:sz w:val="20"/>
                <w:szCs w:val="20"/>
              </w:rPr>
              <w:t xml:space="preserve">The abstract describes HiClimaX as 'the first-ever comprehensive toolbox designed to generate high-resolution climate change projections tailored cities.' This is an exceptionally strong claim that is not defended in the paper. Existing frameworks such as SDSM, VALUE, ClimateWNA, BCSD, EURO-CORDEX's ensemble workflows, and the IS-ENES climate4impact platform all offer multi-method downscaling capabilities. Without a direct comparative analysis, the 'first-ever' language will attract immediate pushback from reviewers.</w:t>
            </w:r>
          </w:p>
        </w:tc>
      </w:tr>
    </w:tbl>
    <w:p>
      <w:pPr>
        <w:spacing w:after="60" w:before="60"/>
      </w:pPr>
      <w:r>
        <w:t xml:space="preserve"/>
      </w:r>
    </w:p>
    <w:p>
      <w:pPr>
        <w:spacing w:after="80" w:before="80" w:line="276" w:lineRule="auto"/>
      </w:pPr>
      <w:r>
        <w:rPr>
          <w:rFonts w:ascii="Calibri" w:cs="Calibri" w:eastAsia="Calibri" w:hAnsi="Calibri"/>
          <w:sz w:val="20"/>
          <w:szCs w:val="20"/>
        </w:rPr>
        <w:t xml:space="preserve">Required additions:</w:t>
      </w:r>
    </w:p>
    <w:p>
      <w:pPr>
        <w:pStyle w:val="ListParagraph"/>
        <w:numPr>
          <w:ilvl w:val="0"/>
          <w:numId w:val="2"/>
        </w:numPr>
        <w:spacing w:after="60" w:before="60"/>
      </w:pPr>
      <w:r>
        <w:rPr>
          <w:rFonts w:ascii="Calibri" w:cs="Calibri" w:eastAsia="Calibri" w:hAnsi="Calibri"/>
          <w:sz w:val="20"/>
          <w:szCs w:val="20"/>
        </w:rPr>
        <w:t xml:space="preserve">A dedicated comparison table (or sub-section) contrasting HiClimaX with the closest existing tools (e.g., VALUE, SDSM, climate4impact, pyClimDown, BCSD-Python, CliMAF). Dimensions of comparison should include: number of methods integrated, urban-specific parameterisation, ensemble generation, open-source availability, and documentation standards.</w:t>
      </w:r>
    </w:p>
    <w:p>
      <w:pPr>
        <w:pStyle w:val="ListParagraph"/>
        <w:numPr>
          <w:ilvl w:val="0"/>
          <w:numId w:val="2"/>
        </w:numPr>
        <w:spacing w:after="60" w:before="60"/>
      </w:pPr>
      <w:r>
        <w:rPr>
          <w:rFonts w:ascii="Calibri" w:cs="Calibri" w:eastAsia="Calibri" w:hAnsi="Calibri"/>
          <w:sz w:val="20"/>
          <w:szCs w:val="20"/>
        </w:rPr>
        <w:t xml:space="preserve">Replace 'the first-ever' with a more defensible, precise claim, such as: 'to our knowledge, the first framework to systematically integrate physical, statistical, and AI-based downscaling methods with explicit urban process representation and ensemble uncertainty quantification in a single reproducible workflow.'</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M4 — Software Documentation Is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thick" w:color="C00000" w:sz="24"/>
              <w:bottom w:val="single" w:color="C00000" w:sz="2"/>
              <w:right w:val="nil"/>
            </w:tcBorders>
            <w:shd w:fill="FCE4D6" w:val="clear"/>
            <w:tcMar>
              <w:top w:type="dxa" w:w="120"/>
              <w:left w:type="dxa" w:w="180"/>
              <w:bottom w:type="dxa" w:w="120"/>
              <w:right w:type="dxa" w:w="180"/>
            </w:tcMar>
          </w:tcPr>
          <w:p>
            <w:pPr>
              <w:spacing w:after="60" w:before="0"/>
            </w:pPr>
            <w:r>
              <w:rPr>
                <w:rFonts w:ascii="Calibri" w:cs="Calibri" w:eastAsia="Calibri" w:hAnsi="Calibri"/>
                <w:b/>
                <w:bCs/>
                <w:color w:val="C00000"/>
                <w:sz w:val="20"/>
                <w:szCs w:val="20"/>
              </w:rPr>
              <w:t xml:space="preserve">CRITICAL</w:t>
            </w:r>
          </w:p>
          <w:p>
            <w:pPr>
              <w:spacing w:after="0" w:before="0"/>
            </w:pPr>
            <w:r>
              <w:rPr>
                <w:rFonts w:ascii="Calibri" w:cs="Calibri" w:eastAsia="Calibri" w:hAnsi="Calibri"/>
                <w:sz w:val="20"/>
                <w:szCs w:val="20"/>
              </w:rPr>
              <w:t xml:space="preserve">GMD explicitly requires that papers introducing a model or framework describe the software implementation in sufficient detail that a reader could install, configure, and run the system. None of this is provided. The paper mentions 'Fortran and Python' and 'a public repository' but nothing further.</w:t>
            </w:r>
          </w:p>
        </w:tc>
      </w:tr>
    </w:tbl>
    <w:p>
      <w:pPr>
        <w:spacing w:after="60" w:before="60"/>
      </w:pPr>
      <w:r>
        <w:t xml:space="preserve"/>
      </w:r>
    </w:p>
    <w:p>
      <w:pPr>
        <w:spacing w:after="80" w:before="80" w:line="276" w:lineRule="auto"/>
      </w:pPr>
      <w:r>
        <w:rPr>
          <w:rFonts w:ascii="Calibri" w:cs="Calibri" w:eastAsia="Calibri" w:hAnsi="Calibri"/>
          <w:sz w:val="20"/>
          <w:szCs w:val="20"/>
        </w:rPr>
        <w:t xml:space="preserve">A dedicated 'Software Implementation' section (or expanded Section 2.3) must include:</w:t>
      </w:r>
    </w:p>
    <w:p>
      <w:pPr>
        <w:pStyle w:val="ListParagraph"/>
        <w:numPr>
          <w:ilvl w:val="0"/>
          <w:numId w:val="2"/>
        </w:numPr>
        <w:spacing w:after="60" w:before="60"/>
      </w:pPr>
      <w:r>
        <w:rPr>
          <w:rFonts w:ascii="Calibri" w:cs="Calibri" w:eastAsia="Calibri" w:hAnsi="Calibri"/>
          <w:sz w:val="20"/>
          <w:szCs w:val="20"/>
        </w:rPr>
        <w:t xml:space="preserve">Repository structure: directory tree showing modules, configuration files, input/output conventions, and shared utilities</w:t>
      </w:r>
    </w:p>
    <w:p>
      <w:pPr>
        <w:pStyle w:val="ListParagraph"/>
        <w:numPr>
          <w:ilvl w:val="0"/>
          <w:numId w:val="2"/>
        </w:numPr>
        <w:spacing w:after="60" w:before="60"/>
      </w:pPr>
      <w:r>
        <w:rPr>
          <w:rFonts w:ascii="Calibri" w:cs="Calibri" w:eastAsia="Calibri" w:hAnsi="Calibri"/>
          <w:sz w:val="20"/>
          <w:szCs w:val="20"/>
        </w:rPr>
        <w:t xml:space="preserve">Dependencies and versions: Python version, key libraries (xarray, wrf-python, scikit-learn, TensorFlow/PyTorch, CDO, NCO), and Fortran compiler requirements</w:t>
      </w:r>
    </w:p>
    <w:p>
      <w:pPr>
        <w:pStyle w:val="ListParagraph"/>
        <w:numPr>
          <w:ilvl w:val="0"/>
          <w:numId w:val="2"/>
        </w:numPr>
        <w:spacing w:after="60" w:before="60"/>
      </w:pPr>
      <w:r>
        <w:rPr>
          <w:rFonts w:ascii="Calibri" w:cs="Calibri" w:eastAsia="Calibri" w:hAnsi="Calibri"/>
          <w:sz w:val="20"/>
          <w:szCs w:val="20"/>
        </w:rPr>
        <w:t xml:space="preserve">Installation instructions: whether a conda environment file, Docker/Singularity container, or module system configuration is provided</w:t>
      </w:r>
    </w:p>
    <w:p>
      <w:pPr>
        <w:pStyle w:val="ListParagraph"/>
        <w:numPr>
          <w:ilvl w:val="0"/>
          <w:numId w:val="2"/>
        </w:numPr>
        <w:spacing w:after="60" w:before="60"/>
      </w:pPr>
      <w:r>
        <w:rPr>
          <w:rFonts w:ascii="Calibri" w:cs="Calibri" w:eastAsia="Calibri" w:hAnsi="Calibri"/>
          <w:sz w:val="20"/>
          <w:szCs w:val="20"/>
        </w:rPr>
        <w:t xml:space="preserve">Configuration and execution: how a user specifies a new city domain, selects modules, sets time periods, and launches a run</w:t>
      </w:r>
    </w:p>
    <w:p>
      <w:pPr>
        <w:pStyle w:val="ListParagraph"/>
        <w:numPr>
          <w:ilvl w:val="0"/>
          <w:numId w:val="2"/>
        </w:numPr>
        <w:spacing w:after="60" w:before="60"/>
      </w:pPr>
      <w:r>
        <w:rPr>
          <w:rFonts w:ascii="Calibri" w:cs="Calibri" w:eastAsia="Calibri" w:hAnsi="Calibri"/>
          <w:sz w:val="20"/>
          <w:szCs w:val="20"/>
        </w:rPr>
        <w:t xml:space="preserve">Testing framework: whether unit tests, integration tests, or regression benchmarks exist, and how to run them</w:t>
      </w:r>
    </w:p>
    <w:p>
      <w:pPr>
        <w:pStyle w:val="ListParagraph"/>
        <w:numPr>
          <w:ilvl w:val="0"/>
          <w:numId w:val="2"/>
        </w:numPr>
        <w:spacing w:after="60" w:before="60"/>
      </w:pPr>
      <w:r>
        <w:rPr>
          <w:rFonts w:ascii="Calibri" w:cs="Calibri" w:eastAsia="Calibri" w:hAnsi="Calibri"/>
          <w:sz w:val="20"/>
          <w:szCs w:val="20"/>
        </w:rPr>
        <w:t xml:space="preserve">Persistent archive: a Zenodo DOI or equivalent for the exact version described in the paper, including example input data</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M5 — Ensemble Methodology Is Not Described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thick" w:color="C55A11" w:sz="24"/>
              <w:bottom w:val="single" w:color="C55A11" w:sz="2"/>
              <w:right w:val="nil"/>
            </w:tcBorders>
            <w:shd w:fill="FCE4D6" w:val="clear"/>
            <w:tcMar>
              <w:top w:type="dxa" w:w="120"/>
              <w:left w:type="dxa" w:w="180"/>
              <w:bottom w:type="dxa" w:w="120"/>
              <w:right w:type="dxa" w:w="180"/>
            </w:tcMar>
          </w:tcPr>
          <w:p>
            <w:pPr>
              <w:spacing w:after="60" w:before="0"/>
            </w:pPr>
            <w:r>
              <w:rPr>
                <w:rFonts w:ascii="Calibri" w:cs="Calibri" w:eastAsia="Calibri" w:hAnsi="Calibri"/>
                <w:b/>
                <w:bCs/>
                <w:color w:val="C55A11"/>
                <w:sz w:val="20"/>
                <w:szCs w:val="20"/>
              </w:rPr>
              <w:t xml:space="preserve">MAJOR</w:t>
            </w:r>
          </w:p>
          <w:p>
            <w:pPr>
              <w:spacing w:after="0" w:before="0"/>
            </w:pPr>
            <w:r>
              <w:rPr>
                <w:rFonts w:ascii="Calibri" w:cs="Calibri" w:eastAsia="Calibri" w:hAnsi="Calibri"/>
                <w:sz w:val="20"/>
                <w:szCs w:val="20"/>
              </w:rPr>
              <w:t xml:space="preserve">The paper repeatedly refers to 'ensemble products', 'ensemble spreads', and 'ensemble integration' without ever explaining how the ensemble is constructed. Key open questions include: Are outputs combined with equal weights? Is Bayesian Model Averaging applied? How are spatially and temporally inconsistent outputs reconciled before aggregation? How are non-overlapping temporal coverages (e.g., PGW provides only event simulations) handled when computing ensemble statistics?</w:t>
            </w:r>
          </w:p>
        </w:tc>
      </w:tr>
    </w:tbl>
    <w:p>
      <w:pPr>
        <w:spacing w:after="60" w:before="60"/>
      </w:pPr>
      <w:r>
        <w:t xml:space="preserve"/>
      </w:r>
    </w:p>
    <w:p>
      <w:pPr>
        <w:spacing w:after="80" w:before="80" w:line="276" w:lineRule="auto"/>
      </w:pPr>
      <w:r>
        <w:rPr>
          <w:rFonts w:ascii="Calibri" w:cs="Calibri" w:eastAsia="Calibri" w:hAnsi="Calibri"/>
          <w:sz w:val="20"/>
          <w:szCs w:val="20"/>
        </w:rPr>
        <w:t xml:space="preserve">Section 2.3 (or a new Section 2.4) should provide:</w:t>
      </w:r>
    </w:p>
    <w:p>
      <w:pPr>
        <w:pStyle w:val="ListParagraph"/>
        <w:numPr>
          <w:ilvl w:val="0"/>
          <w:numId w:val="2"/>
        </w:numPr>
        <w:spacing w:after="60" w:before="60"/>
      </w:pPr>
      <w:r>
        <w:rPr>
          <w:rFonts w:ascii="Calibri" w:cs="Calibri" w:eastAsia="Calibri" w:hAnsi="Calibri"/>
          <w:sz w:val="20"/>
          <w:szCs w:val="20"/>
        </w:rPr>
        <w:t xml:space="preserve">A formal description of the ensemble construction algorithm, including any weighting strategy</w:t>
      </w:r>
    </w:p>
    <w:p>
      <w:pPr>
        <w:pStyle w:val="ListParagraph"/>
        <w:numPr>
          <w:ilvl w:val="0"/>
          <w:numId w:val="2"/>
        </w:numPr>
        <w:spacing w:after="60" w:before="60"/>
      </w:pPr>
      <w:r>
        <w:rPr>
          <w:rFonts w:ascii="Calibri" w:cs="Calibri" w:eastAsia="Calibri" w:hAnsi="Calibri"/>
          <w:sz w:val="20"/>
          <w:szCs w:val="20"/>
        </w:rPr>
        <w:t xml:space="preserve">How the framework handles modules that produce different temporal ranges (multi-decadal vs. event-based)</w:t>
      </w:r>
    </w:p>
    <w:p>
      <w:pPr>
        <w:pStyle w:val="ListParagraph"/>
        <w:numPr>
          <w:ilvl w:val="0"/>
          <w:numId w:val="2"/>
        </w:numPr>
        <w:spacing w:after="60" w:before="60"/>
      </w:pPr>
      <w:r>
        <w:rPr>
          <w:rFonts w:ascii="Calibri" w:cs="Calibri" w:eastAsia="Calibri" w:hAnsi="Calibri"/>
          <w:sz w:val="20"/>
          <w:szCs w:val="20"/>
        </w:rPr>
        <w:t xml:space="preserve">The definition of 'storyline' products: how are divergent outcomes selected and presented to stakeholders?</w:t>
      </w:r>
    </w:p>
    <w:p>
      <w:pPr>
        <w:pStyle w:val="ListParagraph"/>
        <w:numPr>
          <w:ilvl w:val="0"/>
          <w:numId w:val="2"/>
        </w:numPr>
        <w:spacing w:after="60" w:before="60"/>
      </w:pPr>
      <w:r>
        <w:rPr>
          <w:rFonts w:ascii="Calibri" w:cs="Calibri" w:eastAsia="Calibri" w:hAnsi="Calibri"/>
          <w:sz w:val="20"/>
          <w:szCs w:val="20"/>
        </w:rPr>
        <w:t xml:space="preserve">Whether ensemble products include simple multi-model means and spreads, or whether more advanced uncertainty decomposition (e.g., variance partitioning by method vs. scenario) is implemented</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M6 — The Statistical–Dynamical Downscaling Module Needs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thick" w:color="C55A11" w:sz="24"/>
              <w:bottom w:val="single" w:color="C55A11" w:sz="2"/>
              <w:right w:val="nil"/>
            </w:tcBorders>
            <w:shd w:fill="FCE4D6" w:val="clear"/>
            <w:tcMar>
              <w:top w:type="dxa" w:w="120"/>
              <w:left w:type="dxa" w:w="180"/>
              <w:bottom w:type="dxa" w:w="120"/>
              <w:right w:type="dxa" w:w="180"/>
            </w:tcMar>
          </w:tcPr>
          <w:p>
            <w:pPr>
              <w:spacing w:after="60" w:before="0"/>
            </w:pPr>
            <w:r>
              <w:rPr>
                <w:rFonts w:ascii="Calibri" w:cs="Calibri" w:eastAsia="Calibri" w:hAnsi="Calibri"/>
                <w:b/>
                <w:bCs/>
                <w:color w:val="C55A11"/>
                <w:sz w:val="20"/>
                <w:szCs w:val="20"/>
              </w:rPr>
              <w:t xml:space="preserve">MAJOR</w:t>
            </w:r>
          </w:p>
          <w:p>
            <w:pPr>
              <w:spacing w:after="0" w:before="0"/>
            </w:pPr>
            <w:r>
              <w:rPr>
                <w:rFonts w:ascii="Calibri" w:cs="Calibri" w:eastAsia="Calibri" w:hAnsi="Calibri"/>
                <w:sz w:val="20"/>
                <w:szCs w:val="20"/>
              </w:rPr>
              <w:t xml:space="preserve">Beyond the empty section header, the paper gives no information about what statistical–dynamical approach is implemented. This is a diverse family that includes weather-type classification (e.g., Lamb types, k-means clustering), analog methods, and hybrid circulation–regression approaches. The specific implementation must be described.</w:t>
            </w:r>
          </w:p>
        </w:tc>
      </w:tr>
    </w:tbl>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M7 — Figures Are Missing from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thick" w:color="C00000" w:sz="24"/>
              <w:bottom w:val="single" w:color="C00000" w:sz="2"/>
              <w:right w:val="nil"/>
            </w:tcBorders>
            <w:shd w:fill="FCE4D6" w:val="clear"/>
            <w:tcMar>
              <w:top w:type="dxa" w:w="120"/>
              <w:left w:type="dxa" w:w="180"/>
              <w:bottom w:type="dxa" w:w="120"/>
              <w:right w:type="dxa" w:w="180"/>
            </w:tcMar>
          </w:tcPr>
          <w:p>
            <w:pPr>
              <w:spacing w:after="60" w:before="0"/>
            </w:pPr>
            <w:r>
              <w:rPr>
                <w:rFonts w:ascii="Calibri" w:cs="Calibri" w:eastAsia="Calibri" w:hAnsi="Calibri"/>
                <w:b/>
                <w:bCs/>
                <w:color w:val="C00000"/>
                <w:sz w:val="20"/>
                <w:szCs w:val="20"/>
              </w:rPr>
              <w:t xml:space="preserve">CRITICAL</w:t>
            </w:r>
          </w:p>
          <w:p>
            <w:pPr>
              <w:spacing w:after="0" w:before="0"/>
            </w:pPr>
            <w:r>
              <w:rPr>
                <w:rFonts w:ascii="Calibri" w:cs="Calibri" w:eastAsia="Calibri" w:hAnsi="Calibri"/>
                <w:sz w:val="20"/>
                <w:szCs w:val="20"/>
              </w:rPr>
              <w:t xml:space="preserve">The entire paper contains only one image, which appears to be a placeholder ('An example for accurate data representation &amp; universal readability of figures'). This image is not referenced, numbered, or discussed in the text. For a results-driven paper, figures are not optional additions — they are the primary evidence.</w:t>
            </w:r>
          </w:p>
        </w:tc>
      </w:tr>
    </w:tbl>
    <w:p>
      <w:pPr>
        <w:spacing w:after="60" w:before="60"/>
      </w:pPr>
      <w:r>
        <w:t xml:space="preserve"/>
      </w:r>
    </w:p>
    <w:p>
      <w:pPr>
        <w:spacing w:after="80" w:before="80" w:line="276" w:lineRule="auto"/>
      </w:pPr>
      <w:r>
        <w:rPr>
          <w:rFonts w:ascii="Calibri" w:cs="Calibri" w:eastAsia="Calibri" w:hAnsi="Calibri"/>
          <w:sz w:val="20"/>
          <w:szCs w:val="20"/>
        </w:rPr>
        <w:t xml:space="preserve">Minimum required figures for a GMD submission of this type:</w:t>
      </w:r>
    </w:p>
    <w:p>
      <w:pPr>
        <w:pStyle w:val="ListParagraph"/>
        <w:numPr>
          <w:ilvl w:val="0"/>
          <w:numId w:val="2"/>
        </w:numPr>
        <w:spacing w:after="60" w:before="60"/>
      </w:pPr>
      <w:r>
        <w:rPr>
          <w:rFonts w:ascii="Calibri" w:cs="Calibri" w:eastAsia="Calibri" w:hAnsi="Calibri"/>
          <w:sz w:val="20"/>
          <w:szCs w:val="20"/>
        </w:rPr>
        <w:t xml:space="preserve">Figure 1: System architecture diagram (data flow from inputs through modules to outputs)</w:t>
      </w:r>
    </w:p>
    <w:p>
      <w:pPr>
        <w:pStyle w:val="ListParagraph"/>
        <w:numPr>
          <w:ilvl w:val="0"/>
          <w:numId w:val="2"/>
        </w:numPr>
        <w:spacing w:after="60" w:before="60"/>
      </w:pPr>
      <w:r>
        <w:rPr>
          <w:rFonts w:ascii="Calibri" w:cs="Calibri" w:eastAsia="Calibri" w:hAnsi="Calibri"/>
          <w:sz w:val="20"/>
          <w:szCs w:val="20"/>
        </w:rPr>
        <w:t xml:space="preserve">Figure 2: Study domain maps for Tokyo, Ho Chi Minh City, and Brussels, showing topography, land use, and model domain nesting</w:t>
      </w:r>
    </w:p>
    <w:p>
      <w:pPr>
        <w:pStyle w:val="ListParagraph"/>
        <w:numPr>
          <w:ilvl w:val="0"/>
          <w:numId w:val="2"/>
        </w:numPr>
        <w:spacing w:after="60" w:before="60"/>
      </w:pPr>
      <w:r>
        <w:rPr>
          <w:rFonts w:ascii="Calibri" w:cs="Calibri" w:eastAsia="Calibri" w:hAnsi="Calibri"/>
          <w:sz w:val="20"/>
          <w:szCs w:val="20"/>
        </w:rPr>
        <w:t xml:space="preserve">Figure 3: Taylor diagram or multi-panel skill-score summary for temperature and precipitation across six modules and three cities</w:t>
      </w:r>
    </w:p>
    <w:p>
      <w:pPr>
        <w:pStyle w:val="ListParagraph"/>
        <w:numPr>
          <w:ilvl w:val="0"/>
          <w:numId w:val="2"/>
        </w:numPr>
        <w:spacing w:after="60" w:before="60"/>
      </w:pPr>
      <w:r>
        <w:rPr>
          <w:rFonts w:ascii="Calibri" w:cs="Calibri" w:eastAsia="Calibri" w:hAnsi="Calibri"/>
          <w:sz w:val="20"/>
          <w:szCs w:val="20"/>
        </w:rPr>
        <w:t xml:space="preserve">Figure 4: Spatial maps of summer mean temperature or precipitation, comparing outputs from D-DS, AI-DS, SDS, and observations side by side</w:t>
      </w:r>
    </w:p>
    <w:p>
      <w:pPr>
        <w:pStyle w:val="ListParagraph"/>
        <w:numPr>
          <w:ilvl w:val="0"/>
          <w:numId w:val="2"/>
        </w:numPr>
        <w:spacing w:after="60" w:before="60"/>
      </w:pPr>
      <w:r>
        <w:rPr>
          <w:rFonts w:ascii="Calibri" w:cs="Calibri" w:eastAsia="Calibri" w:hAnsi="Calibri"/>
          <w:sz w:val="20"/>
          <w:szCs w:val="20"/>
        </w:rPr>
        <w:t xml:space="preserve">Figure 5: Urban heat island time series (observed vs. modelled) for Tokyo or Ho Chi Minh City</w:t>
      </w:r>
    </w:p>
    <w:p>
      <w:pPr>
        <w:pStyle w:val="ListParagraph"/>
        <w:numPr>
          <w:ilvl w:val="0"/>
          <w:numId w:val="2"/>
        </w:numPr>
        <w:spacing w:after="60" w:before="60"/>
      </w:pPr>
      <w:r>
        <w:rPr>
          <w:rFonts w:ascii="Calibri" w:cs="Calibri" w:eastAsia="Calibri" w:hAnsi="Calibri"/>
          <w:sz w:val="20"/>
          <w:szCs w:val="20"/>
        </w:rPr>
        <w:t xml:space="preserve">Figure 6: Ensemble spread visualisation — probability density functions of a climate extreme index across all modules for at least one city</w:t>
      </w:r>
    </w:p>
    <w:p>
      <w:pPr>
        <w:pStyle w:val="ListParagraph"/>
        <w:numPr>
          <w:ilvl w:val="0"/>
          <w:numId w:val="2"/>
        </w:numPr>
        <w:spacing w:after="60" w:before="60"/>
      </w:pPr>
      <w:r>
        <w:rPr>
          <w:rFonts w:ascii="Calibri" w:cs="Calibri" w:eastAsia="Calibri" w:hAnsi="Calibri"/>
          <w:sz w:val="20"/>
          <w:szCs w:val="20"/>
        </w:rPr>
        <w:t xml:space="preserve">Figure 7 (optional but recommended): Example future projection showing ensemble range under SSP2-4.5 and SSP5-8.5 for a selected city</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M8 — Urban Data Sourcing Is Not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thick" w:color="C55A11" w:sz="24"/>
              <w:bottom w:val="single" w:color="C55A11" w:sz="2"/>
              <w:right w:val="nil"/>
            </w:tcBorders>
            <w:shd w:fill="FCE4D6" w:val="clear"/>
            <w:tcMar>
              <w:top w:type="dxa" w:w="120"/>
              <w:left w:type="dxa" w:w="180"/>
              <w:bottom w:type="dxa" w:w="120"/>
              <w:right w:type="dxa" w:w="180"/>
            </w:tcMar>
          </w:tcPr>
          <w:p>
            <w:pPr>
              <w:spacing w:after="60" w:before="0"/>
            </w:pPr>
            <w:r>
              <w:rPr>
                <w:rFonts w:ascii="Calibri" w:cs="Calibri" w:eastAsia="Calibri" w:hAnsi="Calibri"/>
                <w:b/>
                <w:bCs/>
                <w:color w:val="C55A11"/>
                <w:sz w:val="20"/>
                <w:szCs w:val="20"/>
              </w:rPr>
              <w:t xml:space="preserve">MAJOR</w:t>
            </w:r>
          </w:p>
          <w:p>
            <w:pPr>
              <w:spacing w:after="0" w:before="0"/>
            </w:pPr>
            <w:r>
              <w:rPr>
                <w:rFonts w:ascii="Calibri" w:cs="Calibri" w:eastAsia="Calibri" w:hAnsi="Calibri"/>
                <w:sz w:val="20"/>
                <w:szCs w:val="20"/>
              </w:rPr>
              <w:t xml:space="preserve">Section 3.2 states that urban parameters were 'derived from remote sensing products and national inventories specific to each city' without specifying which products, which version, what year, or how they were processed. These choices critically affect model performance and must be documented for reproducibility.</w:t>
            </w:r>
          </w:p>
        </w:tc>
      </w:tr>
    </w:tbl>
    <w:p>
      <w:pPr>
        <w:spacing w:after="60" w:before="60"/>
      </w:pPr>
      <w:r>
        <w:t xml:space="preserve"/>
      </w:r>
    </w:p>
    <w:p>
      <w:pPr>
        <w:spacing w:after="80" w:before="80" w:line="276" w:lineRule="auto"/>
      </w:pPr>
      <w:r>
        <w:rPr>
          <w:rFonts w:ascii="Calibri" w:cs="Calibri" w:eastAsia="Calibri" w:hAnsi="Calibri"/>
          <w:sz w:val="20"/>
          <w:szCs w:val="20"/>
        </w:rPr>
        <w:t xml:space="preserve">For each city, the paper must state:</w:t>
      </w:r>
    </w:p>
    <w:p>
      <w:pPr>
        <w:pStyle w:val="ListParagraph"/>
        <w:numPr>
          <w:ilvl w:val="0"/>
          <w:numId w:val="2"/>
        </w:numPr>
        <w:spacing w:after="60" w:before="60"/>
      </w:pPr>
      <w:r>
        <w:rPr>
          <w:rFonts w:ascii="Calibri" w:cs="Calibri" w:eastAsia="Calibri" w:hAnsi="Calibri"/>
          <w:sz w:val="20"/>
          <w:szCs w:val="20"/>
        </w:rPr>
        <w:t xml:space="preserve">Source of LULC data (e.g., FROM-GLC30, ESA WorldCover, national cadastral data) with year and version</w:t>
      </w:r>
    </w:p>
    <w:p>
      <w:pPr>
        <w:pStyle w:val="ListParagraph"/>
        <w:numPr>
          <w:ilvl w:val="0"/>
          <w:numId w:val="2"/>
        </w:numPr>
        <w:spacing w:after="60" w:before="60"/>
      </w:pPr>
      <w:r>
        <w:rPr>
          <w:rFonts w:ascii="Calibri" w:cs="Calibri" w:eastAsia="Calibri" w:hAnsi="Calibri"/>
          <w:sz w:val="20"/>
          <w:szCs w:val="20"/>
        </w:rPr>
        <w:t xml:space="preserve">Source of building morphology (height, floor area ratio, plan area fraction) — e.g., World Settlement Footprint 3D, EUBUCCO, OpenStreetMap</w:t>
      </w:r>
    </w:p>
    <w:p>
      <w:pPr>
        <w:pStyle w:val="ListParagraph"/>
        <w:numPr>
          <w:ilvl w:val="0"/>
          <w:numId w:val="2"/>
        </w:numPr>
        <w:spacing w:after="60" w:before="60"/>
      </w:pPr>
      <w:r>
        <w:rPr>
          <w:rFonts w:ascii="Calibri" w:cs="Calibri" w:eastAsia="Calibri" w:hAnsi="Calibri"/>
          <w:sz w:val="20"/>
          <w:szCs w:val="20"/>
        </w:rPr>
        <w:t xml:space="preserve">Anthropogenic heat flux dataset used (e.g., LUCY, CHAMP, ODYM) and temporal resolution</w:t>
      </w:r>
    </w:p>
    <w:p>
      <w:pPr>
        <w:pStyle w:val="ListParagraph"/>
        <w:numPr>
          <w:ilvl w:val="0"/>
          <w:numId w:val="2"/>
        </w:numPr>
        <w:spacing w:after="60" w:before="60"/>
      </w:pPr>
      <w:r>
        <w:rPr>
          <w:rFonts w:ascii="Calibri" w:cs="Calibri" w:eastAsia="Calibri" w:hAnsi="Calibri"/>
          <w:sz w:val="20"/>
          <w:szCs w:val="20"/>
        </w:rPr>
        <w:t xml:space="preserve">How these data were integrated into the WRF/UCM or HRLDAS urban parameter tables</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M9 — PGW Description References Schär (2004) Incorrectly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thick" w:color="C55A11" w:sz="24"/>
              <w:bottom w:val="single" w:color="C55A11" w:sz="2"/>
              <w:right w:val="nil"/>
            </w:tcBorders>
            <w:shd w:fill="FCE4D6" w:val="clear"/>
            <w:tcMar>
              <w:top w:type="dxa" w:w="120"/>
              <w:left w:type="dxa" w:w="180"/>
              <w:bottom w:type="dxa" w:w="120"/>
              <w:right w:type="dxa" w:w="180"/>
            </w:tcMar>
          </w:tcPr>
          <w:p>
            <w:pPr>
              <w:spacing w:after="60" w:before="0"/>
            </w:pPr>
            <w:r>
              <w:rPr>
                <w:rFonts w:ascii="Calibri" w:cs="Calibri" w:eastAsia="Calibri" w:hAnsi="Calibri"/>
                <w:b/>
                <w:bCs/>
                <w:color w:val="C55A11"/>
                <w:sz w:val="20"/>
                <w:szCs w:val="20"/>
              </w:rPr>
              <w:t xml:space="preserve">MAJOR</w:t>
            </w:r>
          </w:p>
          <w:p>
            <w:pPr>
              <w:spacing w:after="0" w:before="0"/>
            </w:pPr>
            <w:r>
              <w:rPr>
                <w:rFonts w:ascii="Calibri" w:cs="Calibri" w:eastAsia="Calibri" w:hAnsi="Calibri"/>
                <w:sz w:val="20"/>
                <w:szCs w:val="20"/>
              </w:rPr>
              <w:t xml:space="preserve">Section 2.1(b) cites Schär et al. (2004) in the context of PGW experiments for exploring future heatwave changes in Europe. The 2004 Schär et al. paper (doi:10.1038/nature02300) is a landmark study on summer temperature variability, not a PGW methodology paper. The relevant PGW methodological references for European heatwave studies should be Leutwyler et al. (2017) or Brogli et al. (2019). Misattribution of foundational citations is a serious error in academic writing.</w:t>
            </w:r>
          </w:p>
        </w:tc>
      </w:tr>
    </w:tbl>
    <w:p>
      <w:pPr>
        <w:spacing w:after="60" w:before="60"/>
      </w:pPr>
      <w:r>
        <w:t xml:space="preserve"/>
      </w:r>
    </w:p>
    <w:p>
      <w:pPr>
        <w:spacing w:after="80" w:before="80" w:line="276" w:lineRule="auto"/>
      </w:pPr>
      <w:r>
        <w:rPr>
          <w:rFonts w:ascii="Calibri" w:cs="Calibri" w:eastAsia="Calibri" w:hAnsi="Calibri"/>
          <w:sz w:val="20"/>
          <w:szCs w:val="20"/>
        </w:rPr>
        <w:t xml:space="preserve">Action: Verify all citations confirm both the claim being made and the paper being cited. A dedicated pass through all ~50 references is strongly advised.</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M10 — The LSP-DS Section Has a Circular Self-Citation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thick" w:color="C55A11" w:sz="24"/>
              <w:bottom w:val="single" w:color="C55A11" w:sz="2"/>
              <w:right w:val="nil"/>
            </w:tcBorders>
            <w:shd w:fill="FCE4D6" w:val="clear"/>
            <w:tcMar>
              <w:top w:type="dxa" w:w="120"/>
              <w:left w:type="dxa" w:w="180"/>
              <w:bottom w:type="dxa" w:w="120"/>
              <w:right w:type="dxa" w:w="180"/>
            </w:tcMar>
          </w:tcPr>
          <w:p>
            <w:pPr>
              <w:spacing w:after="60" w:before="0"/>
            </w:pPr>
            <w:r>
              <w:rPr>
                <w:rFonts w:ascii="Calibri" w:cs="Calibri" w:eastAsia="Calibri" w:hAnsi="Calibri"/>
                <w:b/>
                <w:bCs/>
                <w:color w:val="C55A11"/>
                <w:sz w:val="20"/>
                <w:szCs w:val="20"/>
              </w:rPr>
              <w:t xml:space="preserve">MAJOR</w:t>
            </w:r>
          </w:p>
          <w:p>
            <w:pPr>
              <w:spacing w:after="0" w:before="0"/>
            </w:pPr>
            <w:r>
              <w:rPr>
                <w:rFonts w:ascii="Calibri" w:cs="Calibri" w:eastAsia="Calibri" w:hAnsi="Calibri"/>
                <w:sz w:val="20"/>
                <w:szCs w:val="20"/>
              </w:rPr>
              <w:t xml:space="preserve">The opening sentence of Section 2.1(d) reads: 'Land-surface-physics-based downscaling (LSP-DS) developed by Xue et al., (2024) focuses on the explicit representation...' and the second sentence immediately cites 'Xue et al., 2024, 2025' again. Beyond the redundancy, the method should be described on its own scientific merits, not primarily through self-referential attribution. The approach is a well-established family including HRLDAS and SURFEX that predates Xue et al. (2024).</w:t>
            </w:r>
          </w:p>
        </w:tc>
      </w:tr>
    </w:tbl>
    <w:p>
      <w:pPr>
        <w:spacing w:after="60" w:before="60"/>
      </w:pPr>
      <w:r>
        <w:t xml:space="preserve"/>
      </w:r>
    </w:p>
    <w:p>
      <w:pPr>
        <w:spacing w:after="80" w:before="80" w:line="276" w:lineRule="auto"/>
      </w:pPr>
      <w:r>
        <w:rPr>
          <w:rFonts w:ascii="Calibri" w:cs="Calibri" w:eastAsia="Calibri" w:hAnsi="Calibri"/>
          <w:sz w:val="20"/>
          <w:szCs w:val="20"/>
        </w:rPr>
        <w:t xml:space="preserve">Reframe the opening to describe the category of methods (offline land surface models driven by prescribed atmospheric forcing) and then credit Xue et al. (2024, 2025) for the specific HiClimaX implementation.</w:t>
      </w:r>
    </w:p>
    <w:p>
      <w:pPr>
        <w:spacing w:after="60" w:before="60"/>
      </w:pPr>
      <w:r>
        <w:t xml:space="preserve"/>
      </w:r>
    </w:p>
    <w:p>
      <w:pPr>
        <w:pStyle w:val="Heading1"/>
        <w:pBdr>
          <w:bottom w:val="single" w:color="2E75B6" w:sz="8" w:space="4"/>
        </w:pBdr>
        <w:spacing w:after="120" w:before="360"/>
      </w:pPr>
      <w:r>
        <w:rPr>
          <w:rFonts w:ascii="Calibri" w:cs="Calibri" w:eastAsia="Calibri" w:hAnsi="Calibri"/>
          <w:b/>
          <w:bCs/>
          <w:color w:val="1F3864"/>
          <w:sz w:val="28"/>
          <w:szCs w:val="28"/>
        </w:rPr>
        <w:t xml:space="preserve">3. Minor Issues and Language Corrections</w:t>
      </w:r>
    </w:p>
    <w:p>
      <w:pPr>
        <w:pStyle w:val="Heading2"/>
        <w:spacing w:after="80" w:before="240"/>
      </w:pPr>
      <w:r>
        <w:rPr>
          <w:rFonts w:ascii="Calibri" w:cs="Calibri" w:eastAsia="Calibri" w:hAnsi="Calibri"/>
          <w:b/>
          <w:bCs/>
          <w:color w:val="2E75B6"/>
          <w:sz w:val="24"/>
          <w:szCs w:val="24"/>
        </w:rPr>
        <w:t xml:space="preserve">3.1 Incomplete Sentences and Grammatical Errors</w:t>
      </w:r>
    </w:p>
    <w:p>
      <w:pPr>
        <w:spacing w:after="80" w:before="80" w:line="276" w:lineRule="auto"/>
      </w:pPr>
      <w:r>
        <w:rPr>
          <w:rFonts w:ascii="Calibri" w:cs="Calibri" w:eastAsia="Calibri" w:hAnsi="Calibri"/>
          <w:sz w:val="20"/>
          <w:szCs w:val="20"/>
        </w:rPr>
        <w:t xml:space="preserve">The following specific errors were identified and must be corrected: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500"/>
        <w:gridCol w:w="2660"/>
      </w:tblGrid>
      <w:tr>
        <w:trPr>
          <w:tblHeader/>
        </w:trPr>
        <w:tc>
          <w:tcPr>
            <w:tcW w:type="dxa" w:w="7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ID &amp; Severity</w:t>
            </w:r>
          </w:p>
        </w:tc>
        <w:tc>
          <w:tcPr>
            <w:tcW w:type="dxa" w:w="25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Location</w:t>
            </w:r>
          </w:p>
        </w:tc>
        <w:tc>
          <w:tcPr>
            <w:tcW w:type="dxa" w:w="35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Issue</w:t>
            </w:r>
          </w:p>
        </w:tc>
        <w:tc>
          <w:tcPr>
            <w:tcW w:type="dxa" w:w="266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Recommendation</w:t>
            </w:r>
          </w:p>
        </w:tc>
      </w:tr>
      <w:tr>
        <w:tc>
          <w:tcPr>
            <w:tcW w:type="dxa" w:w="700"/>
            <w:tcBorders>
              <w:top w:val="single" w:color="CCCCCC" w:sz="4"/>
              <w:left w:val="single" w:color="CCCCCC" w:sz="4"/>
              <w:bottom w:val="single" w:color="CCCCCC" w:sz="4"/>
              <w:right w:val="single" w:color="CCCCCC" w:sz="4"/>
            </w:tcBorders>
            <w:shd w:fill="FFF2CC" w:val="clear"/>
            <w:tcMar>
              <w:top w:type="dxa" w:w="80"/>
              <w:left w:type="dxa" w:w="100"/>
              <w:bottom w:type="dxa" w:w="80"/>
              <w:right w:type="dxa" w:w="100"/>
            </w:tcMar>
          </w:tcPr>
          <w:p>
            <w:r>
              <w:rPr>
                <w:rFonts w:ascii="Calibri" w:cs="Calibri" w:eastAsia="Calibri" w:hAnsi="Calibri"/>
                <w:b/>
                <w:bCs/>
                <w:color w:val="7F6000"/>
                <w:sz w:val="18"/>
                <w:szCs w:val="18"/>
              </w:rPr>
              <w:t xml:space="preserve">L1</w:t>
            </w:r>
          </w:p>
          <w:p>
            <w:r>
              <w:rPr>
                <w:rFonts w:ascii="Calibri" w:cs="Calibri" w:eastAsia="Calibri" w:hAnsi="Calibri"/>
                <w:b/>
                <w:bCs/>
                <w:color w:val="7F6000"/>
                <w:sz w:val="16"/>
                <w:szCs w:val="16"/>
              </w:rPr>
              <w:t xml:space="preserve">MINOR</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Abstract, line 5</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'tailored cities' — preposition missing</w:t>
            </w:r>
          </w:p>
        </w:tc>
        <w:tc>
          <w:tcPr>
            <w:tcW w:type="dxa" w:w="26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tcPr>
          <w:p>
            <w:r>
              <w:rPr>
                <w:rFonts w:ascii="Calibri" w:cs="Calibri" w:eastAsia="Calibri" w:hAnsi="Calibri"/>
                <w:sz w:val="18"/>
                <w:szCs w:val="18"/>
              </w:rPr>
              <w:t xml:space="preserve">Change to 'tailored for cities' or 'tailored to the needs of cities'</w:t>
            </w:r>
          </w:p>
        </w:tc>
      </w:tr>
      <w:tr>
        <w:tc>
          <w:tcPr>
            <w:tcW w:type="dxa" w:w="700"/>
            <w:tcBorders>
              <w:top w:val="single" w:color="CCCCCC" w:sz="4"/>
              <w:left w:val="single" w:color="CCCCCC" w:sz="4"/>
              <w:bottom w:val="single" w:color="CCCCCC" w:sz="4"/>
              <w:right w:val="single" w:color="CCCCCC" w:sz="4"/>
            </w:tcBorders>
            <w:shd w:fill="FFF2CC" w:val="clear"/>
            <w:tcMar>
              <w:top w:type="dxa" w:w="80"/>
              <w:left w:type="dxa" w:w="100"/>
              <w:bottom w:type="dxa" w:w="80"/>
              <w:right w:type="dxa" w:w="100"/>
            </w:tcMar>
          </w:tcPr>
          <w:p>
            <w:r>
              <w:rPr>
                <w:rFonts w:ascii="Calibri" w:cs="Calibri" w:eastAsia="Calibri" w:hAnsi="Calibri"/>
                <w:b/>
                <w:bCs/>
                <w:color w:val="7F6000"/>
                <w:sz w:val="18"/>
                <w:szCs w:val="18"/>
              </w:rPr>
              <w:t xml:space="preserve">L2</w:t>
            </w:r>
          </w:p>
          <w:p>
            <w:r>
              <w:rPr>
                <w:rFonts w:ascii="Calibri" w:cs="Calibri" w:eastAsia="Calibri" w:hAnsi="Calibri"/>
                <w:b/>
                <w:bCs/>
                <w:color w:val="7F6000"/>
                <w:sz w:val="16"/>
                <w:szCs w:val="16"/>
              </w:rPr>
              <w:t xml:space="preserve">MINOR</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Abstract, line 10</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'This implimentation' — spelling error</w:t>
            </w:r>
          </w:p>
        </w:tc>
        <w:tc>
          <w:tcPr>
            <w:tcW w:type="dxa" w:w="26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tcPr>
          <w:p>
            <w:r>
              <w:rPr>
                <w:rFonts w:ascii="Calibri" w:cs="Calibri" w:eastAsia="Calibri" w:hAnsi="Calibri"/>
                <w:sz w:val="18"/>
                <w:szCs w:val="18"/>
              </w:rPr>
              <w:t xml:space="preserve">Change to 'This implementation'</w:t>
            </w:r>
          </w:p>
        </w:tc>
      </w:tr>
      <w:tr>
        <w:tc>
          <w:tcPr>
            <w:tcW w:type="dxa" w:w="700"/>
            <w:tcBorders>
              <w:top w:val="single" w:color="CCCCCC" w:sz="4"/>
              <w:left w:val="single" w:color="CCCCCC" w:sz="4"/>
              <w:bottom w:val="single" w:color="CCCCCC" w:sz="4"/>
              <w:right w:val="single" w:color="CCCCCC" w:sz="4"/>
            </w:tcBorders>
            <w:shd w:fill="FFF2CC" w:val="clear"/>
            <w:tcMar>
              <w:top w:type="dxa" w:w="80"/>
              <w:left w:type="dxa" w:w="100"/>
              <w:bottom w:type="dxa" w:w="80"/>
              <w:right w:type="dxa" w:w="100"/>
            </w:tcMar>
          </w:tcPr>
          <w:p>
            <w:r>
              <w:rPr>
                <w:rFonts w:ascii="Calibri" w:cs="Calibri" w:eastAsia="Calibri" w:hAnsi="Calibri"/>
                <w:b/>
                <w:bCs/>
                <w:color w:val="7F6000"/>
                <w:sz w:val="18"/>
                <w:szCs w:val="18"/>
              </w:rPr>
              <w:t xml:space="preserve">L3</w:t>
            </w:r>
          </w:p>
          <w:p>
            <w:r>
              <w:rPr>
                <w:rFonts w:ascii="Calibri" w:cs="Calibri" w:eastAsia="Calibri" w:hAnsi="Calibri"/>
                <w:b/>
                <w:bCs/>
                <w:color w:val="7F6000"/>
                <w:sz w:val="16"/>
                <w:szCs w:val="16"/>
              </w:rPr>
              <w:t xml:space="preserve">MINOR</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Intro, para 1</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'There is critical gap' — missing article</w:t>
            </w:r>
          </w:p>
        </w:tc>
        <w:tc>
          <w:tcPr>
            <w:tcW w:type="dxa" w:w="26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tcPr>
          <w:p>
            <w:r>
              <w:rPr>
                <w:rFonts w:ascii="Calibri" w:cs="Calibri" w:eastAsia="Calibri" w:hAnsi="Calibri"/>
                <w:sz w:val="18"/>
                <w:szCs w:val="18"/>
              </w:rPr>
              <w:t xml:space="preserve">Change to 'There is a critical gap'</w:t>
            </w:r>
          </w:p>
        </w:tc>
      </w:tr>
      <w:tr>
        <w:tc>
          <w:tcPr>
            <w:tcW w:type="dxa" w:w="700"/>
            <w:tcBorders>
              <w:top w:val="single" w:color="CCCCCC" w:sz="4"/>
              <w:left w:val="single" w:color="CCCCCC" w:sz="4"/>
              <w:bottom w:val="single" w:color="CCCCCC" w:sz="4"/>
              <w:right w:val="single" w:color="CCCCCC" w:sz="4"/>
            </w:tcBorders>
            <w:shd w:fill="FFF2CC" w:val="clear"/>
            <w:tcMar>
              <w:top w:type="dxa" w:w="80"/>
              <w:left w:type="dxa" w:w="100"/>
              <w:bottom w:type="dxa" w:w="80"/>
              <w:right w:type="dxa" w:w="100"/>
            </w:tcMar>
          </w:tcPr>
          <w:p>
            <w:r>
              <w:rPr>
                <w:rFonts w:ascii="Calibri" w:cs="Calibri" w:eastAsia="Calibri" w:hAnsi="Calibri"/>
                <w:b/>
                <w:bCs/>
                <w:color w:val="7F6000"/>
                <w:sz w:val="18"/>
                <w:szCs w:val="18"/>
              </w:rPr>
              <w:t xml:space="preserve">L4</w:t>
            </w:r>
          </w:p>
          <w:p>
            <w:r>
              <w:rPr>
                <w:rFonts w:ascii="Calibri" w:cs="Calibri" w:eastAsia="Calibri" w:hAnsi="Calibri"/>
                <w:b/>
                <w:bCs/>
                <w:color w:val="7F6000"/>
                <w:sz w:val="16"/>
                <w:szCs w:val="16"/>
              </w:rPr>
              <w:t xml:space="preserve">MINOR</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Sect. 2.1(a), para 4</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Double parenthesis: '((Kusaka et al., 2001'</w:t>
            </w:r>
          </w:p>
        </w:tc>
        <w:tc>
          <w:tcPr>
            <w:tcW w:type="dxa" w:w="26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tcPr>
          <w:p>
            <w:r>
              <w:rPr>
                <w:rFonts w:ascii="Calibri" w:cs="Calibri" w:eastAsia="Calibri" w:hAnsi="Calibri"/>
                <w:sz w:val="18"/>
                <w:szCs w:val="18"/>
              </w:rPr>
              <w:t xml:space="preserve">Remove one opening parenthesis</w:t>
            </w:r>
          </w:p>
        </w:tc>
      </w:tr>
      <w:tr>
        <w:tc>
          <w:tcPr>
            <w:tcW w:type="dxa" w:w="700"/>
            <w:tcBorders>
              <w:top w:val="single" w:color="CCCCCC" w:sz="4"/>
              <w:left w:val="single" w:color="CCCCCC" w:sz="4"/>
              <w:bottom w:val="single" w:color="CCCCCC" w:sz="4"/>
              <w:right w:val="single" w:color="CCCCCC" w:sz="4"/>
            </w:tcBorders>
            <w:shd w:fill="FFF2CC" w:val="clear"/>
            <w:tcMar>
              <w:top w:type="dxa" w:w="80"/>
              <w:left w:type="dxa" w:w="100"/>
              <w:bottom w:type="dxa" w:w="80"/>
              <w:right w:type="dxa" w:w="100"/>
            </w:tcMar>
          </w:tcPr>
          <w:p>
            <w:r>
              <w:rPr>
                <w:rFonts w:ascii="Calibri" w:cs="Calibri" w:eastAsia="Calibri" w:hAnsi="Calibri"/>
                <w:b/>
                <w:bCs/>
                <w:color w:val="7F6000"/>
                <w:sz w:val="18"/>
                <w:szCs w:val="18"/>
              </w:rPr>
              <w:t xml:space="preserve">L5</w:t>
            </w:r>
          </w:p>
          <w:p>
            <w:r>
              <w:rPr>
                <w:rFonts w:ascii="Calibri" w:cs="Calibri" w:eastAsia="Calibri" w:hAnsi="Calibri"/>
                <w:b/>
                <w:bCs/>
                <w:color w:val="7F6000"/>
                <w:sz w:val="16"/>
                <w:szCs w:val="16"/>
              </w:rPr>
              <w:t xml:space="preserve">MINOR</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Sect. 2.1(a), para 5</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Sentence fragment: 'it underpins CORDEX regional experiments, provides reference datasets for testing novel methods Within HiClimaX' — full stop missing before 'Within'</w:t>
            </w:r>
          </w:p>
        </w:tc>
        <w:tc>
          <w:tcPr>
            <w:tcW w:type="dxa" w:w="26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tcPr>
          <w:p>
            <w:r>
              <w:rPr>
                <w:rFonts w:ascii="Calibri" w:cs="Calibri" w:eastAsia="Calibri" w:hAnsi="Calibri"/>
                <w:sz w:val="18"/>
                <w:szCs w:val="18"/>
              </w:rPr>
              <w:t xml:space="preserve">Insert full stop after 'novel methods' and begin new sentence with 'Within HiClimaX, it anchors...'</w:t>
            </w:r>
          </w:p>
        </w:tc>
      </w:tr>
      <w:tr>
        <w:tc>
          <w:tcPr>
            <w:tcW w:type="dxa" w:w="700"/>
            <w:tcBorders>
              <w:top w:val="single" w:color="CCCCCC" w:sz="4"/>
              <w:left w:val="single" w:color="CCCCCC" w:sz="4"/>
              <w:bottom w:val="single" w:color="CCCCCC" w:sz="4"/>
              <w:right w:val="single" w:color="CCCCCC" w:sz="4"/>
            </w:tcBorders>
            <w:shd w:fill="FFF2CC" w:val="clear"/>
            <w:tcMar>
              <w:top w:type="dxa" w:w="80"/>
              <w:left w:type="dxa" w:w="100"/>
              <w:bottom w:type="dxa" w:w="80"/>
              <w:right w:type="dxa" w:w="100"/>
            </w:tcMar>
          </w:tcPr>
          <w:p>
            <w:r>
              <w:rPr>
                <w:rFonts w:ascii="Calibri" w:cs="Calibri" w:eastAsia="Calibri" w:hAnsi="Calibri"/>
                <w:b/>
                <w:bCs/>
                <w:color w:val="7F6000"/>
                <w:sz w:val="18"/>
                <w:szCs w:val="18"/>
              </w:rPr>
              <w:t xml:space="preserve">L6</w:t>
            </w:r>
          </w:p>
          <w:p>
            <w:r>
              <w:rPr>
                <w:rFonts w:ascii="Calibri" w:cs="Calibri" w:eastAsia="Calibri" w:hAnsi="Calibri"/>
                <w:b/>
                <w:bCs/>
                <w:color w:val="7F6000"/>
                <w:sz w:val="16"/>
                <w:szCs w:val="16"/>
              </w:rPr>
              <w:t xml:space="preserve">MINOR</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Sect. 2.1(a), paras 4 &amp; 5</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Repetition: 'Multi-decadal simulations at 1–3 km resolution demand high-performance computing and restrict ensemble size' appears in consecutive paragraphs almost verbatim</w:t>
            </w:r>
          </w:p>
        </w:tc>
        <w:tc>
          <w:tcPr>
            <w:tcW w:type="dxa" w:w="26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tcPr>
          <w:p>
            <w:r>
              <w:rPr>
                <w:rFonts w:ascii="Calibri" w:cs="Calibri" w:eastAsia="Calibri" w:hAnsi="Calibri"/>
                <w:sz w:val="18"/>
                <w:szCs w:val="18"/>
              </w:rPr>
              <w:t xml:space="preserve">Delete one instance; consolidate the point</w:t>
            </w:r>
          </w:p>
        </w:tc>
      </w:tr>
      <w:tr>
        <w:tc>
          <w:tcPr>
            <w:tcW w:type="dxa" w:w="700"/>
            <w:tcBorders>
              <w:top w:val="single" w:color="CCCCCC" w:sz="4"/>
              <w:left w:val="single" w:color="CCCCCC" w:sz="4"/>
              <w:bottom w:val="single" w:color="CCCCCC" w:sz="4"/>
              <w:right w:val="single" w:color="CCCCCC" w:sz="4"/>
            </w:tcBorders>
            <w:shd w:fill="FFF2CC" w:val="clear"/>
            <w:tcMar>
              <w:top w:type="dxa" w:w="80"/>
              <w:left w:type="dxa" w:w="100"/>
              <w:bottom w:type="dxa" w:w="80"/>
              <w:right w:type="dxa" w:w="100"/>
            </w:tcMar>
          </w:tcPr>
          <w:p>
            <w:r>
              <w:rPr>
                <w:rFonts w:ascii="Calibri" w:cs="Calibri" w:eastAsia="Calibri" w:hAnsi="Calibri"/>
                <w:b/>
                <w:bCs/>
                <w:color w:val="7F6000"/>
                <w:sz w:val="18"/>
                <w:szCs w:val="18"/>
              </w:rPr>
              <w:t xml:space="preserve">L7</w:t>
            </w:r>
          </w:p>
          <w:p>
            <w:r>
              <w:rPr>
                <w:rFonts w:ascii="Calibri" w:cs="Calibri" w:eastAsia="Calibri" w:hAnsi="Calibri"/>
                <w:b/>
                <w:bCs/>
                <w:color w:val="7F6000"/>
                <w:sz w:val="16"/>
                <w:szCs w:val="16"/>
              </w:rPr>
              <w:t xml:space="preserve">MINOR</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Sect. 2.1(b)</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Trailing whitespace after Sato et al. (2007) citation: ')  . The' — double space and misplaced period</w:t>
            </w:r>
          </w:p>
        </w:tc>
        <w:tc>
          <w:tcPr>
            <w:tcW w:type="dxa" w:w="26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tcPr>
          <w:p>
            <w:r>
              <w:rPr>
                <w:rFonts w:ascii="Calibri" w:cs="Calibri" w:eastAsia="Calibri" w:hAnsi="Calibri"/>
                <w:sz w:val="18"/>
                <w:szCs w:val="18"/>
              </w:rPr>
              <w:t xml:space="preserve">Correct punctuation and spacing</w:t>
            </w:r>
          </w:p>
        </w:tc>
      </w:tr>
      <w:tr>
        <w:tc>
          <w:tcPr>
            <w:tcW w:type="dxa" w:w="700"/>
            <w:tcBorders>
              <w:top w:val="single" w:color="CCCCCC" w:sz="4"/>
              <w:left w:val="single" w:color="CCCCCC" w:sz="4"/>
              <w:bottom w:val="single" w:color="CCCCCC" w:sz="4"/>
              <w:right w:val="single" w:color="CCCCCC" w:sz="4"/>
            </w:tcBorders>
            <w:shd w:fill="FCE4D6" w:val="clear"/>
            <w:tcMar>
              <w:top w:type="dxa" w:w="80"/>
              <w:left w:type="dxa" w:w="100"/>
              <w:bottom w:type="dxa" w:w="80"/>
              <w:right w:type="dxa" w:w="100"/>
            </w:tcMar>
          </w:tcPr>
          <w:p>
            <w:r>
              <w:rPr>
                <w:rFonts w:ascii="Calibri" w:cs="Calibri" w:eastAsia="Calibri" w:hAnsi="Calibri"/>
                <w:b/>
                <w:bCs/>
                <w:color w:val="C55A11"/>
                <w:sz w:val="18"/>
                <w:szCs w:val="18"/>
              </w:rPr>
              <w:t xml:space="preserve">L8</w:t>
            </w:r>
          </w:p>
          <w:p>
            <w:r>
              <w:rPr>
                <w:rFonts w:ascii="Calibri" w:cs="Calibri" w:eastAsia="Calibri" w:hAnsi="Calibri"/>
                <w:b/>
                <w:bCs/>
                <w:color w:val="C55A11"/>
                <w:sz w:val="16"/>
                <w:szCs w:val="16"/>
              </w:rPr>
              <w:t xml:space="preserve">MAJOR</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Discussion, Table X</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'Table X' is a placeholder number conflicting with 'Table 1' referenced earlier in the same section</w:t>
            </w:r>
          </w:p>
        </w:tc>
        <w:tc>
          <w:tcPr>
            <w:tcW w:type="dxa" w:w="26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tcPr>
          <w:p>
            <w:r>
              <w:rPr>
                <w:rFonts w:ascii="Calibri" w:cs="Calibri" w:eastAsia="Calibri" w:hAnsi="Calibri"/>
                <w:sz w:val="18"/>
                <w:szCs w:val="18"/>
              </w:rPr>
              <w:t xml:space="preserve">Renumber tables consistently; use 'Table 1' and 'Table 2'</w:t>
            </w:r>
          </w:p>
        </w:tc>
      </w:tr>
      <w:tr>
        <w:tc>
          <w:tcPr>
            <w:tcW w:type="dxa" w:w="700"/>
            <w:tcBorders>
              <w:top w:val="single" w:color="CCCCCC" w:sz="4"/>
              <w:left w:val="single" w:color="CCCCCC" w:sz="4"/>
              <w:bottom w:val="single" w:color="CCCCCC" w:sz="4"/>
              <w:right w:val="single" w:color="CCCCCC" w:sz="4"/>
            </w:tcBorders>
            <w:shd w:fill="FCE4D6" w:val="clear"/>
            <w:tcMar>
              <w:top w:type="dxa" w:w="80"/>
              <w:left w:type="dxa" w:w="100"/>
              <w:bottom w:type="dxa" w:w="80"/>
              <w:right w:type="dxa" w:w="100"/>
            </w:tcMar>
          </w:tcPr>
          <w:p>
            <w:r>
              <w:rPr>
                <w:rFonts w:ascii="Calibri" w:cs="Calibri" w:eastAsia="Calibri" w:hAnsi="Calibri"/>
                <w:b/>
                <w:bCs/>
                <w:color w:val="C55A11"/>
                <w:sz w:val="18"/>
                <w:szCs w:val="18"/>
              </w:rPr>
              <w:t xml:space="preserve">L9</w:t>
            </w:r>
          </w:p>
          <w:p>
            <w:r>
              <w:rPr>
                <w:rFonts w:ascii="Calibri" w:cs="Calibri" w:eastAsia="Calibri" w:hAnsi="Calibri"/>
                <w:b/>
                <w:bCs/>
                <w:color w:val="C55A11"/>
                <w:sz w:val="16"/>
                <w:szCs w:val="16"/>
              </w:rPr>
              <w:t xml:space="preserve">MAJOR</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References section</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All references run together in a single unbroken paragraph block, making them impossible to read or verify</w:t>
            </w:r>
          </w:p>
        </w:tc>
        <w:tc>
          <w:tcPr>
            <w:tcW w:type="dxa" w:w="26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tcPr>
          <w:p>
            <w:r>
              <w:rPr>
                <w:rFonts w:ascii="Calibri" w:cs="Calibri" w:eastAsia="Calibri" w:hAnsi="Calibri"/>
                <w:sz w:val="18"/>
                <w:szCs w:val="18"/>
              </w:rPr>
              <w:t xml:space="preserve">Format each reference as a separate paragraph; sort alphabetically; ensure all DOIs are hyperlinked</w:t>
            </w:r>
          </w:p>
        </w:tc>
      </w:tr>
      <w:tr>
        <w:tc>
          <w:tcPr>
            <w:tcW w:type="dxa" w:w="700"/>
            <w:tcBorders>
              <w:top w:val="single" w:color="CCCCCC" w:sz="4"/>
              <w:left w:val="single" w:color="CCCCCC" w:sz="4"/>
              <w:bottom w:val="single" w:color="CCCCCC" w:sz="4"/>
              <w:right w:val="single" w:color="CCCCCC" w:sz="4"/>
            </w:tcBorders>
            <w:shd w:fill="FCE4D6" w:val="clear"/>
            <w:tcMar>
              <w:top w:type="dxa" w:w="80"/>
              <w:left w:type="dxa" w:w="100"/>
              <w:bottom w:type="dxa" w:w="80"/>
              <w:right w:type="dxa" w:w="100"/>
            </w:tcMar>
          </w:tcPr>
          <w:p>
            <w:r>
              <w:rPr>
                <w:rFonts w:ascii="Calibri" w:cs="Calibri" w:eastAsia="Calibri" w:hAnsi="Calibri"/>
                <w:b/>
                <w:bCs/>
                <w:color w:val="C55A11"/>
                <w:sz w:val="18"/>
                <w:szCs w:val="18"/>
              </w:rPr>
              <w:t xml:space="preserve">L10</w:t>
            </w:r>
          </w:p>
          <w:p>
            <w:r>
              <w:rPr>
                <w:rFonts w:ascii="Calibri" w:cs="Calibri" w:eastAsia="Calibri" w:hAnsi="Calibri"/>
                <w:b/>
                <w:bCs/>
                <w:color w:val="C55A11"/>
                <w:sz w:val="16"/>
                <w:szCs w:val="16"/>
              </w:rPr>
              <w:t xml:space="preserve">MAJOR</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Doan et al. 2021</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Calibri" w:cs="Calibri" w:eastAsia="Calibri" w:hAnsi="Calibri"/>
                <w:sz w:val="18"/>
                <w:szCs w:val="18"/>
              </w:rPr>
              <w:t xml:space="preserve">Reference is listed as 'paper presented at the AOGS 2021 18th Annual Meeting' — a conference abstract, not a peer-reviewed publication. It is cited in the Introduction with the same weight as published papers.</w:t>
            </w:r>
          </w:p>
        </w:tc>
        <w:tc>
          <w:tcPr>
            <w:tcW w:type="dxa" w:w="26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tcPr>
          <w:p>
            <w:r>
              <w:rPr>
                <w:rFonts w:ascii="Calibri" w:cs="Calibri" w:eastAsia="Calibri" w:hAnsi="Calibri"/>
                <w:sz w:val="18"/>
                <w:szCs w:val="18"/>
              </w:rPr>
              <w:t xml:space="preserve">Either replace with the published version of this work or demote to a footnote; conference abstracts should not be cited as primary evidence in GMD manuscripts</w:t>
            </w:r>
          </w:p>
        </w:tc>
      </w:tr>
    </w:tbl>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3.2 Missing Key References</w:t>
      </w:r>
    </w:p>
    <w:p>
      <w:pPr>
        <w:spacing w:after="80" w:before="80" w:line="276" w:lineRule="auto"/>
      </w:pPr>
      <w:r>
        <w:rPr>
          <w:rFonts w:ascii="Calibri" w:cs="Calibri" w:eastAsia="Calibri" w:hAnsi="Calibri"/>
          <w:sz w:val="20"/>
          <w:szCs w:val="20"/>
        </w:rPr>
        <w:t xml:space="preserve">The following bodies of work are directly relevant but absent from the reference list:</w:t>
      </w:r>
    </w:p>
    <w:p>
      <w:pPr>
        <w:pStyle w:val="ListParagraph"/>
        <w:numPr>
          <w:ilvl w:val="0"/>
          <w:numId w:val="2"/>
        </w:numPr>
        <w:spacing w:after="60" w:before="60"/>
      </w:pPr>
      <w:r>
        <w:rPr>
          <w:rFonts w:ascii="Calibri" w:cs="Calibri" w:eastAsia="Calibri" w:hAnsi="Calibri"/>
          <w:sz w:val="20"/>
          <w:szCs w:val="20"/>
        </w:rPr>
        <w:t xml:space="preserve">VALUE framework (Maraun et al., 2015, J. Climate; Maraun &amp; Widmann, 2018, Statistical Downscaling and Bias Correction) — the most directly comparable multi-method downscaling intercomparison framework; its omission is conspicuous</w:t>
      </w:r>
    </w:p>
    <w:p>
      <w:pPr>
        <w:pStyle w:val="ListParagraph"/>
        <w:numPr>
          <w:ilvl w:val="0"/>
          <w:numId w:val="2"/>
        </w:numPr>
        <w:spacing w:after="60" w:before="60"/>
      </w:pPr>
      <w:r>
        <w:rPr>
          <w:rFonts w:ascii="Calibri" w:cs="Calibri" w:eastAsia="Calibri" w:hAnsi="Calibri"/>
          <w:sz w:val="20"/>
          <w:szCs w:val="20"/>
        </w:rPr>
        <w:t xml:space="preserve">CORDEX-CORE (Remedio et al., 2019, Climate Dynamics) — the benchmark multi-RCM ensemble framework the paper aligns with</w:t>
      </w:r>
    </w:p>
    <w:p>
      <w:pPr>
        <w:pStyle w:val="ListParagraph"/>
        <w:numPr>
          <w:ilvl w:val="0"/>
          <w:numId w:val="2"/>
        </w:numPr>
        <w:spacing w:after="60" w:before="60"/>
      </w:pPr>
      <w:r>
        <w:rPr>
          <w:rFonts w:ascii="Calibri" w:cs="Calibri" w:eastAsia="Calibri" w:hAnsi="Calibri"/>
          <w:sz w:val="20"/>
          <w:szCs w:val="20"/>
        </w:rPr>
        <w:t xml:space="preserve">Lafferty &amp; Sriver (2023) is cited but the important companion paper by Maraun et al. (2017, Nature Climate Change) on 'Towards process-informed bias correction of climate change simulations' is absent</w:t>
      </w:r>
    </w:p>
    <w:p>
      <w:pPr>
        <w:pStyle w:val="ListParagraph"/>
        <w:numPr>
          <w:ilvl w:val="0"/>
          <w:numId w:val="2"/>
        </w:numPr>
        <w:spacing w:after="60" w:before="60"/>
      </w:pPr>
      <w:r>
        <w:rPr>
          <w:rFonts w:ascii="Calibri" w:cs="Calibri" w:eastAsia="Calibri" w:hAnsi="Calibri"/>
          <w:sz w:val="20"/>
          <w:szCs w:val="20"/>
        </w:rPr>
        <w:t xml:space="preserve">For AI-based downscaling: Höhlein et al. (2020, Geoscientific Model Development), which is the closest analogue in the GMD literature for a documented AI downscaling system</w:t>
      </w:r>
    </w:p>
    <w:p>
      <w:pPr>
        <w:pStyle w:val="ListParagraph"/>
        <w:numPr>
          <w:ilvl w:val="0"/>
          <w:numId w:val="2"/>
        </w:numPr>
        <w:spacing w:after="60" w:before="60"/>
      </w:pPr>
      <w:r>
        <w:rPr>
          <w:rFonts w:ascii="Calibri" w:cs="Calibri" w:eastAsia="Calibri" w:hAnsi="Calibri"/>
          <w:sz w:val="20"/>
          <w:szCs w:val="20"/>
        </w:rPr>
        <w:t xml:space="preserve">For ensemble storylines: Zappa &amp; Shepherd (2017, J. Climate) for the formal methodology underlying storyline construction</w:t>
      </w:r>
    </w:p>
    <w:p>
      <w:pPr>
        <w:pStyle w:val="ListParagraph"/>
        <w:numPr>
          <w:ilvl w:val="0"/>
          <w:numId w:val="2"/>
        </w:numPr>
        <w:spacing w:after="60" w:before="60"/>
      </w:pPr>
      <w:r>
        <w:rPr>
          <w:rFonts w:ascii="Calibri" w:cs="Calibri" w:eastAsia="Calibri" w:hAnsi="Calibri"/>
          <w:sz w:val="20"/>
          <w:szCs w:val="20"/>
        </w:rPr>
        <w:t xml:space="preserve">For urban digital twins: Bauer et al. (2021, Nat. Comput. Sci.) — cited in the Discussion in spirit but not in fact</w:t>
      </w:r>
    </w:p>
    <w:p>
      <w:pPr>
        <w:spacing w:after="60" w:before="60"/>
      </w:pPr>
      <w:r>
        <w:t xml:space="preserve"/>
      </w:r>
    </w:p>
    <w:p>
      <w:pPr>
        <w:pStyle w:val="Heading1"/>
        <w:pBdr>
          <w:bottom w:val="single" w:color="2E75B6" w:sz="8" w:space="4"/>
        </w:pBdr>
        <w:spacing w:after="120" w:before="360"/>
      </w:pPr>
      <w:r>
        <w:rPr>
          <w:rFonts w:ascii="Calibri" w:cs="Calibri" w:eastAsia="Calibri" w:hAnsi="Calibri"/>
          <w:b/>
          <w:bCs/>
          <w:color w:val="1F3864"/>
          <w:sz w:val="28"/>
          <w:szCs w:val="28"/>
        </w:rPr>
        <w:t xml:space="preserve">4. Recommendations for Proof-of-Assessment Experiments</w:t>
      </w:r>
    </w:p>
    <w:p>
      <w:pPr>
        <w:spacing w:after="80" w:before="80" w:line="276" w:lineRule="auto"/>
      </w:pPr>
      <w:r>
        <w:rPr>
          <w:rFonts w:ascii="Calibri" w:cs="Calibri" w:eastAsia="Calibri" w:hAnsi="Calibri"/>
          <w:sz w:val="20"/>
          <w:szCs w:val="20"/>
        </w:rPr>
        <w:t xml:space="preserve">To meet the standard expected of a GMD-class framework paper, the proof-of-concept section must demonstrate not just that the system runs, but that it produces scientifically credible and internally consistent outputs. Below is a recommended experimental protocol.</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4.1 Baseline Evaluation Protocol</w:t>
      </w:r>
    </w:p>
    <w:p>
      <w:pPr>
        <w:spacing w:after="80" w:before="80" w:line="276" w:lineRule="auto"/>
      </w:pPr>
      <w:r>
        <w:rPr>
          <w:rFonts w:ascii="Calibri" w:cs="Calibri" w:eastAsia="Calibri" w:hAnsi="Calibri"/>
          <w:sz w:val="20"/>
          <w:szCs w:val="20"/>
        </w:rPr>
        <w:t xml:space="preserve">For each city (Tokyo, Ho Chi Minh City, Brussels) and each of the six modules, the following metrics should be computed over the historical period 1991–2020 (or the longest available overlap) at seasonal time scales: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rFonts w:ascii="Calibri" w:cs="Calibri" w:eastAsia="Calibri" w:hAnsi="Calibri"/>
                <w:b/>
                <w:bCs/>
                <w:color w:val="FFFFFF"/>
                <w:sz w:val="18"/>
                <w:szCs w:val="18"/>
              </w:rPr>
              <w:t xml:space="preserve">Variable</w:t>
            </w:r>
          </w:p>
        </w:tc>
        <w:tc>
          <w:tcPr>
            <w:tcW w:type="dxa" w:w="35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rFonts w:ascii="Calibri" w:cs="Calibri" w:eastAsia="Calibri" w:hAnsi="Calibri"/>
                <w:b/>
                <w:bCs/>
                <w:color w:val="FFFFFF"/>
                <w:sz w:val="18"/>
                <w:szCs w:val="18"/>
              </w:rPr>
              <w:t xml:space="preserve">Metrics</w:t>
            </w:r>
          </w:p>
        </w:tc>
        <w:tc>
          <w:tcPr>
            <w:tcW w:type="dxa" w:w="336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rFonts w:ascii="Calibri" w:cs="Calibri" w:eastAsia="Calibri" w:hAnsi="Calibri"/>
                <w:b/>
                <w:bCs/>
                <w:color w:val="FFFFFF"/>
                <w:sz w:val="18"/>
                <w:szCs w:val="18"/>
              </w:rPr>
              <w:t xml:space="preserve">Reference Dataset</w:t>
            </w:r>
          </w:p>
        </w:tc>
      </w:tr>
      <w:tr>
        <w:tc>
          <w:tcPr>
            <w:tcW w:type="dxa" w:w="250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2 m air temperature (T2m)</w:t>
            </w:r>
          </w:p>
        </w:tc>
        <w:tc>
          <w:tcPr>
            <w:tcW w:type="dxa" w:w="350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Bias, RMSE, Pearson r, temporal correlation; spatial correlation pattern (Taylor diagram)</w:t>
            </w:r>
          </w:p>
        </w:tc>
        <w:tc>
          <w:tcPr>
            <w:tcW w:type="dxa" w:w="336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ERA5 0.25°; local AWS stations</w:t>
            </w:r>
          </w:p>
        </w:tc>
      </w:tr>
      <w:tr>
        <w:tc>
          <w:tcPr>
            <w:tcW w:type="dxa" w:w="250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Daily precipitation</w:t>
            </w:r>
          </w:p>
        </w:tc>
        <w:tc>
          <w:tcPr>
            <w:tcW w:type="dxa" w:w="350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Bias, RMSE, frequency bias, Equitable Threat Score for &gt;20 mm d⁻¹ events</w:t>
            </w:r>
          </w:p>
        </w:tc>
        <w:tc>
          <w:tcPr>
            <w:tcW w:type="dxa" w:w="336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IMERG v07; CMORPH; gauge data</w:t>
            </w:r>
          </w:p>
        </w:tc>
      </w:tr>
      <w:tr>
        <w:tc>
          <w:tcPr>
            <w:tcW w:type="dxa" w:w="250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Urban Heat Island intensity (UHII)</w:t>
            </w:r>
          </w:p>
        </w:tc>
        <w:tc>
          <w:tcPr>
            <w:tcW w:type="dxa" w:w="350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Mean nocturnal UHII (urban – rural T2m); diurnal cycle comparison; Taylor diagram</w:t>
            </w:r>
          </w:p>
        </w:tc>
        <w:tc>
          <w:tcPr>
            <w:tcW w:type="dxa" w:w="336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Paired urban/rural station records; MODIS LST</w:t>
            </w:r>
          </w:p>
        </w:tc>
      </w:tr>
      <w:tr>
        <w:tc>
          <w:tcPr>
            <w:tcW w:type="dxa" w:w="250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Extreme temperature (TX90p)</w:t>
            </w:r>
          </w:p>
        </w:tc>
        <w:tc>
          <w:tcPr>
            <w:tcW w:type="dxa" w:w="350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Bias in 90th percentile of Tmax; warm spell duration index</w:t>
            </w:r>
          </w:p>
        </w:tc>
        <w:tc>
          <w:tcPr>
            <w:tcW w:type="dxa" w:w="336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E-OBS for Brussels; JMA data for Tokyo</w:t>
            </w:r>
          </w:p>
        </w:tc>
      </w:tr>
      <w:tr>
        <w:tc>
          <w:tcPr>
            <w:tcW w:type="dxa" w:w="250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Extreme precipitation (Rx1day, R95p)</w:t>
            </w:r>
          </w:p>
        </w:tc>
        <w:tc>
          <w:tcPr>
            <w:tcW w:type="dxa" w:w="350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Return level estimates (2, 5, 10 yr) via GEV fitting; ratio to observed return levels</w:t>
            </w:r>
          </w:p>
        </w:tc>
        <w:tc>
          <w:tcPr>
            <w:tcW w:type="dxa" w:w="3360"/>
            <w:tcBorders>
              <w:top w:val="single" w:color="DDDDDD" w:sz="2"/>
              <w:left w:val="single" w:color="DDDDDD" w:sz="2"/>
              <w:bottom w:val="single" w:color="DDDDDD" w:sz="2"/>
              <w:right w:val="single" w:color="DDDDDD" w:sz="2"/>
            </w:tcBorders>
            <w:tcMar>
              <w:top w:type="dxa" w:w="80"/>
              <w:left w:type="dxa" w:w="100"/>
              <w:bottom w:type="dxa" w:w="80"/>
              <w:right w:type="dxa" w:w="100"/>
            </w:tcMar>
          </w:tcPr>
          <w:p>
            <w:r>
              <w:rPr>
                <w:rFonts w:ascii="Calibri" w:cs="Calibri" w:eastAsia="Calibri" w:hAnsi="Calibri"/>
                <w:sz w:val="18"/>
                <w:szCs w:val="18"/>
              </w:rPr>
              <w:t xml:space="preserve">JMA AMeDAS; MIDAS; Vietnamese hydrology agency</w:t>
            </w:r>
          </w:p>
        </w:tc>
      </w:tr>
    </w:tbl>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4.2 Inter-Method Comparison Experiment</w:t>
      </w:r>
    </w:p>
    <w:p>
      <w:pPr>
        <w:spacing w:after="80" w:before="80" w:line="276" w:lineRule="auto"/>
      </w:pPr>
      <w:r>
        <w:rPr>
          <w:rFonts w:ascii="Calibri" w:cs="Calibri" w:eastAsia="Calibri" w:hAnsi="Calibri"/>
          <w:sz w:val="20"/>
          <w:szCs w:val="20"/>
        </w:rPr>
        <w:t xml:space="preserve">To demonstrate the core added value of HiClimaX — systematic inter-method comparison — the following comparative experiments are recommended:</w:t>
      </w:r>
    </w:p>
    <w:p>
      <w:pPr>
        <w:spacing w:after="60" w:before="60"/>
      </w:pPr>
      <w:r>
        <w:t xml:space="preserve"/>
      </w:r>
    </w:p>
    <w:p>
      <w:pPr>
        <w:pStyle w:val="ListParagraph"/>
        <w:numPr>
          <w:ilvl w:val="0"/>
          <w:numId w:val="3"/>
        </w:numPr>
        <w:spacing w:after="60" w:before="60"/>
      </w:pPr>
      <w:r>
        <w:rPr>
          <w:rFonts w:ascii="Calibri" w:cs="Calibri" w:eastAsia="Calibri" w:hAnsi="Calibri"/>
          <w:sz w:val="20"/>
          <w:szCs w:val="20"/>
        </w:rPr>
        <w:t xml:space="preserve">Select one summer season (e.g., JJA 2018, which featured significant heatwave activity in Tokyo and Europe) as a shared reference period across all modules. Run all six modules over this period for each city and plot spatial maps of mean T2m and total precipitation side by side. Compute inter-module spread as the standard deviation across module outputs at each grid point.</w:t>
      </w:r>
    </w:p>
    <w:p>
      <w:pPr>
        <w:pStyle w:val="ListParagraph"/>
        <w:numPr>
          <w:ilvl w:val="0"/>
          <w:numId w:val="3"/>
        </w:numPr>
        <w:spacing w:after="60" w:before="60"/>
      </w:pPr>
      <w:r>
        <w:rPr>
          <w:rFonts w:ascii="Calibri" w:cs="Calibri" w:eastAsia="Calibri" w:hAnsi="Calibri"/>
          <w:sz w:val="20"/>
          <w:szCs w:val="20"/>
        </w:rPr>
        <w:t xml:space="preserve">Construct Taylor diagrams for all six modules simultaneously (per city, per variable). This provides a visually immediate summary of relative performance and illustrates the methodological diversity of HiClimaX in a single figure.</w:t>
      </w:r>
    </w:p>
    <w:p>
      <w:pPr>
        <w:pStyle w:val="ListParagraph"/>
        <w:numPr>
          <w:ilvl w:val="0"/>
          <w:numId w:val="3"/>
        </w:numPr>
        <w:spacing w:after="60" w:before="60"/>
      </w:pPr>
      <w:r>
        <w:rPr>
          <w:rFonts w:ascii="Calibri" w:cs="Calibri" w:eastAsia="Calibri" w:hAnsi="Calibri"/>
          <w:sz w:val="20"/>
          <w:szCs w:val="20"/>
        </w:rPr>
        <w:t xml:space="preserve">Run a PGW experiment for the 2023 Tokyo heatwave and compare the future scenario output (e.g., under +2 °C global warming perturbation) against the baseline D-DS, to demonstrate storyline generation and the specific added value of the PGW module.</w:t>
      </w:r>
    </w:p>
    <w:p>
      <w:pPr>
        <w:pStyle w:val="ListParagraph"/>
        <w:numPr>
          <w:ilvl w:val="0"/>
          <w:numId w:val="3"/>
        </w:numPr>
        <w:spacing w:after="60" w:before="60"/>
      </w:pPr>
      <w:r>
        <w:rPr>
          <w:rFonts w:ascii="Calibri" w:cs="Calibri" w:eastAsia="Calibri" w:hAnsi="Calibri"/>
          <w:sz w:val="20"/>
          <w:szCs w:val="20"/>
        </w:rPr>
        <w:t xml:space="preserve">For the AI module, document training performance: (a) training on 1991–2010, (b) validation on 2011–2015, (c) held-out test on 2016–2020. Report loss curves and skill scores on the held-out period. This is required to establish that AI-DS is not overfitted.</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4.3 Ensemble Uncertainty Demonstration</w:t>
      </w:r>
    </w:p>
    <w:p>
      <w:pPr>
        <w:spacing w:after="80" w:before="80" w:line="276" w:lineRule="auto"/>
      </w:pPr>
      <w:r>
        <w:rPr>
          <w:rFonts w:ascii="Calibri" w:cs="Calibri" w:eastAsia="Calibri" w:hAnsi="Calibri"/>
          <w:sz w:val="20"/>
          <w:szCs w:val="20"/>
        </w:rPr>
        <w:t xml:space="preserve">The ensemble framework is the central scientific contribution. It must be demonstrated more rigorously than currently presented:</w:t>
      </w:r>
    </w:p>
    <w:p>
      <w:pPr>
        <w:pStyle w:val="ListParagraph"/>
        <w:numPr>
          <w:ilvl w:val="0"/>
          <w:numId w:val="2"/>
        </w:numPr>
        <w:spacing w:after="60" w:before="60"/>
      </w:pPr>
      <w:r>
        <w:rPr>
          <w:rFonts w:ascii="Calibri" w:cs="Calibri" w:eastAsia="Calibri" w:hAnsi="Calibri"/>
          <w:sz w:val="20"/>
          <w:szCs w:val="20"/>
        </w:rPr>
        <w:t xml:space="preserve">Plot probability density functions of the 90th percentile of daily precipitation (R90p) across all six modules for each city. Overlay the observational estimate with confidence interval. This directly supports the claim that 'no single method is universally superior.'</w:t>
      </w:r>
    </w:p>
    <w:p>
      <w:pPr>
        <w:pStyle w:val="ListParagraph"/>
        <w:numPr>
          <w:ilvl w:val="0"/>
          <w:numId w:val="2"/>
        </w:numPr>
        <w:spacing w:after="60" w:before="60"/>
      </w:pPr>
      <w:r>
        <w:rPr>
          <w:rFonts w:ascii="Calibri" w:cs="Calibri" w:eastAsia="Calibri" w:hAnsi="Calibri"/>
          <w:sz w:val="20"/>
          <w:szCs w:val="20"/>
        </w:rPr>
        <w:t xml:space="preserve">Provide variance decomposition: for temperature and precipitation, decompose the total inter-annual variance in modelled means into components attributable to (a) methodological choice (between-module), (b) internal variability (within-module ensemble if run), and (c) forcing uncertainty (ERA5 vs. JRA, or multiple GCMs). This will be a strong addition to Section 4.3.</w:t>
      </w:r>
    </w:p>
    <w:p>
      <w:pPr>
        <w:pStyle w:val="ListParagraph"/>
        <w:numPr>
          <w:ilvl w:val="0"/>
          <w:numId w:val="2"/>
        </w:numPr>
        <w:spacing w:after="60" w:before="60"/>
      </w:pPr>
      <w:r>
        <w:rPr>
          <w:rFonts w:ascii="Calibri" w:cs="Calibri" w:eastAsia="Calibri" w:hAnsi="Calibri"/>
          <w:sz w:val="20"/>
          <w:szCs w:val="20"/>
        </w:rPr>
        <w:t xml:space="preserve">Show ensemble mean vs. observations: demonstrate that the multi-method ensemble mean outperforms any individual module in at least one key metric. This is the classical justification for ensemble approaches.</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4.4 Transferability Test</w:t>
      </w:r>
    </w:p>
    <w:p>
      <w:pPr>
        <w:spacing w:after="80" w:before="80" w:line="276" w:lineRule="auto"/>
      </w:pPr>
      <w:r>
        <w:rPr>
          <w:rFonts w:ascii="Calibri" w:cs="Calibri" w:eastAsia="Calibri" w:hAnsi="Calibri"/>
          <w:sz w:val="20"/>
          <w:szCs w:val="20"/>
        </w:rPr>
        <w:t xml:space="preserve">If HiClimaX is to be promoted as a 'general platform across different cities, climates, and datasets' (Section 2), it must demonstrate that a module calibrated for one city can be transferred to another with acceptable degradation of skill. A recommended design:</w:t>
      </w:r>
    </w:p>
    <w:p>
      <w:pPr>
        <w:pStyle w:val="ListParagraph"/>
        <w:numPr>
          <w:ilvl w:val="0"/>
          <w:numId w:val="2"/>
        </w:numPr>
        <w:spacing w:after="60" w:before="60"/>
      </w:pPr>
      <w:r>
        <w:rPr>
          <w:rFonts w:ascii="Calibri" w:cs="Calibri" w:eastAsia="Calibri" w:hAnsi="Calibri"/>
          <w:sz w:val="20"/>
          <w:szCs w:val="20"/>
        </w:rPr>
        <w:t xml:space="preserve">Train the AI-DS module exclusively on Tokyo data. Apply to Ho Chi Minh City without retraining. Report transfer skill vs. city-specific training. This quantifies the generalizability limitation acknowledged in Section 2.1(f).</w:t>
      </w:r>
    </w:p>
    <w:p>
      <w:pPr>
        <w:pStyle w:val="ListParagraph"/>
        <w:numPr>
          <w:ilvl w:val="0"/>
          <w:numId w:val="2"/>
        </w:numPr>
        <w:spacing w:after="60" w:before="60"/>
      </w:pPr>
      <w:r>
        <w:rPr>
          <w:rFonts w:ascii="Calibri" w:cs="Calibri" w:eastAsia="Calibri" w:hAnsi="Calibri"/>
          <w:sz w:val="20"/>
          <w:szCs w:val="20"/>
        </w:rPr>
        <w:t xml:space="preserve">For statistical downscaling (once the empty section is written): compare predictor importance in a temperate vs. tropical city to illustrate where the stationarity assumption is most at risk.</w:t>
      </w:r>
    </w:p>
    <w:p>
      <w:pPr>
        <w:spacing w:after="60" w:before="60"/>
      </w:pPr>
      <w:r>
        <w:t xml:space="preserve"/>
      </w:r>
    </w:p>
    <w:p>
      <w:pPr>
        <w:pStyle w:val="Heading1"/>
        <w:pBdr>
          <w:bottom w:val="single" w:color="2E75B6" w:sz="8" w:space="4"/>
        </w:pBdr>
        <w:spacing w:after="120" w:before="360"/>
      </w:pPr>
      <w:r>
        <w:rPr>
          <w:rFonts w:ascii="Calibri" w:cs="Calibri" w:eastAsia="Calibri" w:hAnsi="Calibri"/>
          <w:b/>
          <w:bCs/>
          <w:color w:val="1F3864"/>
          <w:sz w:val="28"/>
          <w:szCs w:val="28"/>
        </w:rPr>
        <w:t xml:space="preserve">5. Strengthening Academic Values</w:t>
      </w:r>
    </w:p>
    <w:p>
      <w:pPr>
        <w:pStyle w:val="Heading2"/>
        <w:spacing w:after="80" w:before="240"/>
      </w:pPr>
      <w:r>
        <w:rPr>
          <w:rFonts w:ascii="Calibri" w:cs="Calibri" w:eastAsia="Calibri" w:hAnsi="Calibri"/>
          <w:b/>
          <w:bCs/>
          <w:color w:val="2E75B6"/>
          <w:sz w:val="24"/>
          <w:szCs w:val="24"/>
        </w:rPr>
        <w:t xml:space="preserve">5.1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4"/>
              <w:bottom w:val="single" w:color="2E75B6" w:sz="2"/>
              <w:right w:val="nil"/>
            </w:tcBorders>
            <w:shd w:fill="D6E4F0" w:val="clear"/>
            <w:tcMar>
              <w:top w:type="dxa" w:w="120"/>
              <w:left w:type="dxa" w:w="180"/>
              <w:bottom w:type="dxa" w:w="120"/>
              <w:right w:type="dxa" w:w="180"/>
            </w:tcMar>
          </w:tcPr>
          <w:p>
            <w:pPr>
              <w:spacing w:after="60" w:before="0"/>
            </w:pPr>
            <w:r>
              <w:rPr>
                <w:rFonts w:ascii="Calibri" w:cs="Calibri" w:eastAsia="Calibri" w:hAnsi="Calibri"/>
                <w:b/>
                <w:bCs/>
                <w:color w:val="2E75B6"/>
                <w:sz w:val="20"/>
                <w:szCs w:val="20"/>
              </w:rPr>
              <w:t xml:space="preserve">RECOMMENDATION</w:t>
            </w:r>
          </w:p>
          <w:p>
            <w:pPr>
              <w:spacing w:after="0" w:before="0"/>
            </w:pPr>
            <w:r>
              <w:rPr>
                <w:rFonts w:ascii="Calibri" w:cs="Calibri" w:eastAsia="Calibri" w:hAnsi="Calibri"/>
                <w:sz w:val="20"/>
                <w:szCs w:val="20"/>
              </w:rPr>
              <w:t xml:space="preserve">GMD requires that all model code, input data, and analysis scripts sufficient to reproduce the figures and results be publicly archived before acceptance. At present, the 'Code and Data Availability' section reads 'links (Zenodo/GitHub)' — placeholder text only. A Zenodo archive with a persistent DOI must be created before submission. The archive should include: (a) the HiClimaX source code at a tagged release; (b) preprocessed example input data for at least one city; (c) configuration files used for the case studies; (d) Jupyter notebooks or Python scripts reproducing each figure.</w:t>
            </w:r>
          </w:p>
        </w:tc>
      </w:tr>
    </w:tbl>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5.2 Transparency of Uncertainty</w:t>
      </w:r>
    </w:p>
    <w:p>
      <w:pPr>
        <w:spacing w:after="80" w:before="80" w:line="276" w:lineRule="auto"/>
      </w:pPr>
      <w:r>
        <w:rPr>
          <w:rFonts w:ascii="Calibri" w:cs="Calibri" w:eastAsia="Calibri" w:hAnsi="Calibri"/>
          <w:sz w:val="20"/>
          <w:szCs w:val="20"/>
        </w:rPr>
        <w:t xml:space="preserve">The paper mentions aleatoric and epistemic uncertainty (following Shepherd, 2018) in the Introduction but does not return to this conceptual framing in the Results or Discussion. For academic coherence, explicitly map the uncertainty taxonomy to the module outputs: which sources of uncertainty does each module address, and which does it leave unaddressed? A structured table (Methods × Uncertainty sources) would add significant intellectual clarity.</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5.3 FAIR Data Principles</w:t>
      </w:r>
    </w:p>
    <w:p>
      <w:pPr>
        <w:spacing w:after="80" w:before="80" w:line="276" w:lineRule="auto"/>
      </w:pPr>
      <w:r>
        <w:rPr>
          <w:rFonts w:ascii="Calibri" w:cs="Calibri" w:eastAsia="Calibri" w:hAnsi="Calibri"/>
          <w:sz w:val="20"/>
          <w:szCs w:val="20"/>
        </w:rPr>
        <w:t xml:space="preserve">The paper states that 'widely available datasets' are used but does not confirm compliance with FAIR principles (Findable, Accessible, Interoperable, Reusable). A short paragraph should confirm which datasets are openly accessible, which require data-sharing agreements, and how data access barriers could affect reproducibility in the Global South — an issue the paper itself raises (Section 2.1(f)).</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5.4 Author Contributions</w:t>
      </w:r>
    </w:p>
    <w:p>
      <w:pPr>
        <w:spacing w:after="80" w:before="80" w:line="276" w:lineRule="auto"/>
      </w:pPr>
      <w:r>
        <w:rPr>
          <w:rFonts w:ascii="Calibri" w:cs="Calibri" w:eastAsia="Calibri" w:hAnsi="Calibri"/>
          <w:sz w:val="20"/>
          <w:szCs w:val="20"/>
        </w:rPr>
        <w:t xml:space="preserve">The Author Contributions section is blank. GMD requires CRediT (Contributor Roles Taxonomy) attribution. Fill in contributions using the CRediT vocabulary: Conceptualization, Methodology, Software, Validation, Formal analysis, Investigation, Data Curation, Writing – Original Draft, Writing – Review &amp; Editing, Visualization, Supervision, Project administration, Funding acquisition.</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5.5 Competing Interests</w:t>
      </w:r>
    </w:p>
    <w:p>
      <w:pPr>
        <w:spacing w:after="80" w:before="80" w:line="276" w:lineRule="auto"/>
      </w:pPr>
      <w:r>
        <w:rPr>
          <w:rFonts w:ascii="Calibri" w:cs="Calibri" w:eastAsia="Calibri" w:hAnsi="Calibri"/>
          <w:sz w:val="20"/>
          <w:szCs w:val="20"/>
        </w:rPr>
        <w:t xml:space="preserve">The section is blank. Even a statement that 'The author declares no competing interests' must be explicit.</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5.6 Ethics of 'First-Ever' Claims in Science Communication</w:t>
      </w:r>
    </w:p>
    <w:p>
      <w:pPr>
        <w:spacing w:after="80" w:before="80" w:line="276" w:lineRule="auto"/>
      </w:pPr>
      <w:r>
        <w:rPr>
          <w:rFonts w:ascii="Calibri" w:cs="Calibri" w:eastAsia="Calibri" w:hAnsi="Calibri"/>
          <w:sz w:val="20"/>
          <w:szCs w:val="20"/>
        </w:rPr>
        <w:t xml:space="preserve">Superlative 'first' claims in academic titles and abstracts carry significant reputational risk when challenged by reviewers or in post-publication commentary. The scientific literature on urban climate modelling frameworks dates back at least to Rosenfeld et al. (1995) and the URBMET/UCM lineage. A more defensible formulation that highlights the specific combination of features (multi-method, urban-specific, open-source, ensemble-based) is preferred both scientifically and ethically.</w:t>
      </w:r>
    </w:p>
    <w:p>
      <w:pPr>
        <w:spacing w:after="60" w:before="60"/>
      </w:pPr>
      <w:r>
        <w:t xml:space="preserve"/>
      </w:r>
    </w:p>
    <w:p>
      <w:pPr>
        <w:pStyle w:val="Heading1"/>
        <w:pBdr>
          <w:bottom w:val="single" w:color="2E75B6" w:sz="8" w:space="4"/>
        </w:pBdr>
        <w:spacing w:after="120" w:before="360"/>
      </w:pPr>
      <w:r>
        <w:rPr>
          <w:rFonts w:ascii="Calibri" w:cs="Calibri" w:eastAsia="Calibri" w:hAnsi="Calibri"/>
          <w:b/>
          <w:bCs/>
          <w:color w:val="1F3864"/>
          <w:sz w:val="28"/>
          <w:szCs w:val="28"/>
        </w:rPr>
        <w:t xml:space="preserve">6. Suggested Revision Roadmap</w:t>
      </w:r>
    </w:p>
    <w:p>
      <w:pPr>
        <w:spacing w:after="80" w:before="80" w:line="276" w:lineRule="auto"/>
      </w:pPr>
      <w:r>
        <w:rPr>
          <w:rFonts w:ascii="Calibri" w:cs="Calibri" w:eastAsia="Calibri" w:hAnsi="Calibri"/>
          <w:sz w:val="20"/>
          <w:szCs w:val="20"/>
        </w:rPr>
        <w:t xml:space="preserve">The following phased plan is recommended to bring the manuscript to submission readiness: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6"/>
              <w:left w:val="thick" w:color="7F6000" w:sz="24"/>
              <w:bottom w:val="single" w:color="7F6000" w:sz="2"/>
              <w:right w:val="nil"/>
            </w:tcBorders>
            <w:shd w:fill="FFF2CC" w:val="clear"/>
            <w:tcMar>
              <w:top w:type="dxa" w:w="120"/>
              <w:left w:type="dxa" w:w="180"/>
              <w:bottom w:type="dxa" w:w="120"/>
              <w:right w:type="dxa" w:w="180"/>
            </w:tcMar>
          </w:tcPr>
          <w:p>
            <w:pPr>
              <w:spacing w:after="60" w:before="0"/>
            </w:pPr>
            <w:r>
              <w:rPr>
                <w:rFonts w:ascii="Calibri" w:cs="Calibri" w:eastAsia="Calibri" w:hAnsi="Calibri"/>
                <w:b/>
                <w:bCs/>
                <w:color w:val="7F6000"/>
                <w:sz w:val="20"/>
                <w:szCs w:val="20"/>
              </w:rPr>
              <w:t xml:space="preserve">Phase 1 (Essential — cannot submit without these)</w:t>
            </w:r>
          </w:p>
          <w:p>
            <w:pPr>
              <w:spacing w:after="0" w:before="0"/>
            </w:pPr>
            <w:r>
              <w:rPr>
                <w:rFonts w:ascii="Calibri" w:cs="Calibri" w:eastAsia="Calibri" w:hAnsi="Calibri"/>
                <w:sz w:val="20"/>
                <w:szCs w:val="20"/>
              </w:rPr>
              <w:t xml:space="preserve">1. Write Section 2.1(c) on Statistical–Dynamical Downscaling.
2. Write Section 2.1(e) on Statistical Downscaling.
3. Fill in all placeholder text: author contributions, competing interests, acknowledgements, code/data availability with real DOIs.
4. Correct all identified typos and sentence fragments (see Section 3 of this review).
5. Renumber tables consistently (resolve 'Table X' vs. 'Table 1' conflict).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4"/>
              <w:bottom w:val="single" w:color="2E75B6" w:sz="2"/>
              <w:right w:val="nil"/>
            </w:tcBorders>
            <w:shd w:fill="D6E4F0" w:val="clear"/>
            <w:tcMar>
              <w:top w:type="dxa" w:w="120"/>
              <w:left w:type="dxa" w:w="180"/>
              <w:bottom w:type="dxa" w:w="120"/>
              <w:right w:type="dxa" w:w="180"/>
            </w:tcMar>
          </w:tcPr>
          <w:p>
            <w:pPr>
              <w:spacing w:after="60" w:before="0"/>
            </w:pPr>
            <w:r>
              <w:rPr>
                <w:rFonts w:ascii="Calibri" w:cs="Calibri" w:eastAsia="Calibri" w:hAnsi="Calibri"/>
                <w:b/>
                <w:bCs/>
                <w:color w:val="2E75B6"/>
                <w:sz w:val="20"/>
                <w:szCs w:val="20"/>
              </w:rPr>
              <w:t xml:space="preserve">Phase 2 (Scientific substance — required for acceptance)</w:t>
            </w:r>
          </w:p>
          <w:p>
            <w:pPr>
              <w:spacing w:after="0" w:before="0"/>
            </w:pPr>
            <w:r>
              <w:rPr>
                <w:rFonts w:ascii="Calibri" w:cs="Calibri" w:eastAsia="Calibri" w:hAnsi="Calibri"/>
                <w:sz w:val="20"/>
                <w:szCs w:val="20"/>
              </w:rPr>
              <w:t xml:space="preserve">6. Run the baseline evaluation protocol (Section 4.1 of this review) for all modules and produce Taylor diagrams and bias tables.
7. Generate Figures 1–6 as described in Section M7.
8. Add a formal description of the ensemble construction methodology.
9. Add a software documentation section (repository, installation, dependencies, testing).
10. Add a comparative table positioning HiClimaX against VALUE, SDSM, pyClimDown, and CliMAF.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6"/>
              <w:left w:val="thick" w:color="375623" w:sz="24"/>
              <w:bottom w:val="single" w:color="375623" w:sz="2"/>
              <w:right w:val="nil"/>
            </w:tcBorders>
            <w:shd w:fill="E2EFDA" w:val="clear"/>
            <w:tcMar>
              <w:top w:type="dxa" w:w="120"/>
              <w:left w:type="dxa" w:w="180"/>
              <w:bottom w:type="dxa" w:w="120"/>
              <w:right w:type="dxa" w:w="180"/>
            </w:tcMar>
          </w:tcPr>
          <w:p>
            <w:pPr>
              <w:spacing w:after="60" w:before="0"/>
            </w:pPr>
            <w:r>
              <w:rPr>
                <w:rFonts w:ascii="Calibri" w:cs="Calibri" w:eastAsia="Calibri" w:hAnsi="Calibri"/>
                <w:b/>
                <w:bCs/>
                <w:color w:val="375623"/>
                <w:sz w:val="20"/>
                <w:szCs w:val="20"/>
              </w:rPr>
              <w:t xml:space="preserve">Phase 3 (Strengthening — to exceed threshold for acceptance)</w:t>
            </w:r>
          </w:p>
          <w:p>
            <w:pPr>
              <w:spacing w:after="0" w:before="0"/>
            </w:pPr>
            <w:r>
              <w:rPr>
                <w:rFonts w:ascii="Calibri" w:cs="Calibri" w:eastAsia="Calibri" w:hAnsi="Calibri"/>
                <w:sz w:val="20"/>
                <w:szCs w:val="20"/>
              </w:rPr>
              <w:t xml:space="preserve">11. Add variance decomposition of ensemble uncertainty (inter-method vs. internal variability vs. forcing).
12. Add the transferability experiment for the AI module.
13. Replace or justify the conference abstract citation (Doan et al., 2021).
14. Add the VALUE, CORDEX-CORE, Höhlein et al. (2020), and Zappa &amp; Shepherd (2017) citations where relevant.
15. Submit a cover letter addressing the gap between existing frameworks and HiClimaX, with quantitative statements about the novel combination of features.</w:t>
            </w:r>
          </w:p>
        </w:tc>
      </w:tr>
    </w:tbl>
    <w:p>
      <w:pPr>
        <w:spacing w:after="60" w:before="60"/>
      </w:pPr>
      <w:r>
        <w:t xml:space="preserve"/>
      </w:r>
    </w:p>
    <w:p>
      <w:pPr>
        <w:pStyle w:val="Heading1"/>
        <w:pBdr>
          <w:bottom w:val="single" w:color="2E75B6" w:sz="8" w:space="4"/>
        </w:pBdr>
        <w:spacing w:after="120" w:before="360"/>
      </w:pPr>
      <w:r>
        <w:rPr>
          <w:rFonts w:ascii="Calibri" w:cs="Calibri" w:eastAsia="Calibri" w:hAnsi="Calibri"/>
          <w:b/>
          <w:bCs/>
          <w:color w:val="1F3864"/>
          <w:sz w:val="28"/>
          <w:szCs w:val="28"/>
        </w:rPr>
        <w:t xml:space="preserve">7. Closing Remarks</w:t>
      </w:r>
    </w:p>
    <w:p>
      <w:pPr>
        <w:spacing w:after="80" w:before="80" w:line="276" w:lineRule="auto"/>
      </w:pPr>
      <w:r>
        <w:rPr>
          <w:rFonts w:ascii="Calibri" w:cs="Calibri" w:eastAsia="Calibri" w:hAnsi="Calibri"/>
          <w:sz w:val="20"/>
          <w:szCs w:val="20"/>
        </w:rPr>
        <w:t xml:space="preserve">HiClimaX has the potential to become a genuinely important contribution to urban climate downscaling. The conceptual design — modular, multi-method, open-source, city-focused, ensemble-based — is well-motivated, clearly needed by the community, and aligned with the strategic directions of CORDEX and WCRP. The writing in the completed sections is mostly fluent and well-referenced.</w:t>
      </w:r>
    </w:p>
    <w:p>
      <w:pPr>
        <w:spacing w:after="60" w:before="60"/>
      </w:pPr>
      <w:r>
        <w:t xml:space="preserve"/>
      </w:r>
    </w:p>
    <w:p>
      <w:pPr>
        <w:spacing w:after="80" w:before="80" w:line="276" w:lineRule="auto"/>
      </w:pPr>
      <w:r>
        <w:rPr>
          <w:rFonts w:ascii="Calibri" w:cs="Calibri" w:eastAsia="Calibri" w:hAnsi="Calibri"/>
          <w:sz w:val="20"/>
          <w:szCs w:val="20"/>
        </w:rPr>
        <w:t xml:space="preserve">However, the manuscript in its current state is a detailed plan and partial implementation description, not yet a validated modelling framework paper. The missing module descriptions, the absence of quantitative results, and the lack of software documentation are not minor oversights — they are the core deliverables of a GMD submission. Addressing them will require substantial additional work but will transform this manuscript into a high-impact publication.</w:t>
      </w:r>
    </w:p>
    <w:p>
      <w:pPr>
        <w:spacing w:after="60" w:before="60"/>
      </w:pPr>
      <w:r>
        <w:t xml:space="preserve"/>
      </w:r>
    </w:p>
    <w:p>
      <w:pPr>
        <w:spacing w:after="80" w:before="80" w:line="276" w:lineRule="auto"/>
      </w:pPr>
      <w:r>
        <w:rPr>
          <w:rFonts w:ascii="Calibri" w:cs="Calibri" w:eastAsia="Calibri" w:hAnsi="Calibri"/>
          <w:sz w:val="20"/>
          <w:szCs w:val="20"/>
        </w:rPr>
        <w:t xml:space="preserve">The author is encouraged to treat this review as a construction guide rather than a barrier. Every item raised here has a clear path to resolution, and the completed paper will be a significantly stronger contribution to the literature.</w:t>
      </w:r>
    </w:p>
    <w:p>
      <w:pPr>
        <w:spacing w:after="60" w:before="60"/>
      </w:pPr>
      <w:r>
        <w:t xml:space="preserve"/>
      </w:r>
    </w:p>
    <w:p>
      <w:pPr>
        <w:spacing w:after="60" w:before="60"/>
      </w:pPr>
      <w:r>
        <w:t xml:space="preserve"/>
      </w:r>
    </w:p>
    <w:p>
      <w:pPr>
        <w:pBdr>
          <w:top w:val="single" w:color="2E75B6" w:sz="4" w:space="4"/>
        </w:pBdr>
        <w:spacing w:before="120"/>
        <w:jc w:val="right"/>
      </w:pPr>
      <w:r>
        <w:rPr>
          <w:rFonts w:ascii="Calibri" w:cs="Calibri" w:eastAsia="Calibri" w:hAnsi="Calibri"/>
          <w:i/>
          <w:iCs/>
          <w:color w:val="888888"/>
          <w:sz w:val="16"/>
          <w:szCs w:val="16"/>
        </w:rPr>
        <w:t xml:space="preserve">Review prepared: 15 March 2026  |  For pre-submission strengthening only</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Calibri" w:cs="Calibri" w:eastAsia="Calibri" w:hAnsi="Calibri"/>
        <w:color w:val="888888"/>
        <w:sz w:val="16"/>
        <w:szCs w:val="16"/>
      </w:rPr>
      <w:t xml:space="preserve">Critical Review: HiClimaX Manuscript  |  </w:t>
    </w:r>
    <w:r>
      <w:rPr>
        <w:rFonts w:ascii="Calibri" w:cs="Calibri" w:eastAsia="Calibri" w:hAnsi="Calibri"/>
        <w:i/>
        <w:iCs/>
        <w:color w:val="888888"/>
        <w:sz w:val="16"/>
        <w:szCs w:val="16"/>
      </w:rPr>
      <w:t xml:space="preserve">Confidential — Author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2026-03-15T04:50:01.063Z</dcterms:created>
  <dcterms:modified xsi:type="dcterms:W3CDTF">2026-03-15T04:50:01.063Z</dcterms:modified>
</cp:coreProperties>
</file>

<file path=docProps/custom.xml><?xml version="1.0" encoding="utf-8"?>
<Properties xmlns="http://schemas.openxmlformats.org/officeDocument/2006/custom-properties" xmlns:vt="http://schemas.openxmlformats.org/officeDocument/2006/docPropsVTypes"/>
</file>