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t xml:space="preserve"/>
      </w:r>
    </w:p>
    <w:p>
      <w:pPr>
        <w:spacing w:after="80" w:before="0"/>
        <w:jc w:val="center"/>
      </w:pPr>
      <w:r>
        <w:rPr>
          <w:rFonts w:ascii="Calibri" w:cs="Calibri" w:eastAsia="Calibri" w:hAnsi="Calibri"/>
          <w:b/>
          <w:bCs/>
          <w:color w:val="0D2B55"/>
          <w:sz w:val="72"/>
          <w:szCs w:val="72"/>
        </w:rPr>
        <w:t xml:space="preserve">HiClimaX</w:t>
      </w:r>
    </w:p>
    <w:p>
      <w:pPr>
        <w:spacing w:after="80" w:before="0"/>
        <w:jc w:val="center"/>
      </w:pPr>
      <w:r>
        <w:rPr>
          <w:rFonts w:ascii="Calibri" w:cs="Calibri" w:eastAsia="Calibri" w:hAnsi="Calibri"/>
          <w:i/>
          <w:iCs/>
          <w:color w:val="2E9CCA"/>
          <w:sz w:val="36"/>
          <w:szCs w:val="36"/>
        </w:rPr>
        <w:t xml:space="preserve">From Framework to Paradigm</w:t>
      </w:r>
    </w:p>
    <w:p>
      <w:pPr>
        <w:pBdr>
          <w:bottom w:val="single" w:color="2E9CCA" w:sz="6" w:space="4"/>
        </w:pBdr>
        <w:spacing w:after="40" w:before="0"/>
        <w:jc w:val="center"/>
      </w:pPr>
      <w:r>
        <w:rPr>
          <w:rFonts w:ascii="Calibri" w:cs="Calibri" w:eastAsia="Calibri" w:hAnsi="Calibri"/>
          <w:color w:val="1A5E9A"/>
          <w:sz w:val="22"/>
          <w:szCs w:val="22"/>
        </w:rPr>
        <w:t xml:space="preserve">A Strategic Roadmap for WMO/IPCC Alignment &amp; Business Ecosystem Development</w:t>
      </w:r>
    </w:p>
    <w:p>
      <w:pPr>
        <w:spacing w:after="40" w:before="40"/>
      </w:pPr>
      <w:r>
        <w:t xml:space="preserve"/>
      </w:r>
    </w:p>
    <w:p>
      <w:pPr>
        <w:spacing w:after="40" w:before="0"/>
        <w:jc w:val="center"/>
      </w:pPr>
      <w:r>
        <w:rPr>
          <w:rFonts w:ascii="Calibri" w:cs="Calibri" w:eastAsia="Calibri" w:hAnsi="Calibri"/>
          <w:color w:val="555555"/>
          <w:sz w:val="20"/>
          <w:szCs w:val="20"/>
        </w:rPr>
        <w:t xml:space="preserve">Prepared for: Quang-Van Doan, University of Tsukuba</w:t>
      </w:r>
    </w:p>
    <w:p>
      <w:pPr>
        <w:spacing w:after="240" w:before="0"/>
        <w:jc w:val="center"/>
      </w:pPr>
      <w:r>
        <w:rPr>
          <w:rFonts w:ascii="Calibri" w:cs="Calibri" w:eastAsia="Calibri" w:hAnsi="Calibri"/>
          <w:i/>
          <w:iCs/>
          <w:color w:val="B0BEC5"/>
          <w:sz w:val="18"/>
          <w:szCs w:val="18"/>
        </w:rPr>
        <w:t xml:space="preserve">March 2026  |  Confidential Strategic Advisory</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E9A" w:sz="8"/>
              <w:left w:val="thick" w:color="1A5E9A" w:sz="28"/>
              <w:bottom w:val="single" w:color="1A5E9A" w:sz="2"/>
              <w:right w:val="nil"/>
            </w:tcBorders>
            <w:shd w:fill="D6E8F5" w:val="clear"/>
            <w:tcMar>
              <w:top w:type="dxa" w:w="140"/>
              <w:left w:type="dxa" w:w="220"/>
              <w:bottom w:type="dxa" w:w="140"/>
              <w:right w:type="dxa" w:w="220"/>
            </w:tcMar>
          </w:tcPr>
          <w:p>
            <w:pPr>
              <w:spacing w:after="60" w:before="0"/>
            </w:pPr>
            <w:r>
              <w:rPr>
                <w:rFonts w:ascii="Calibri" w:cs="Calibri" w:eastAsia="Calibri" w:hAnsi="Calibri"/>
                <w:b/>
                <w:bCs/>
                <w:color w:val="1A5E9A"/>
                <w:sz w:val="19"/>
                <w:szCs w:val="19"/>
              </w:rPr>
              <w:t xml:space="preserve">Executive Summary</w:t>
            </w:r>
          </w:p>
          <w:p>
            <w:pPr>
              <w:spacing w:after="0" w:before="0"/>
            </w:pPr>
            <w:r>
              <w:rPr>
                <w:rFonts w:ascii="Calibri" w:cs="Calibri" w:eastAsia="Calibri" w:hAnsi="Calibri"/>
                <w:sz w:val="19"/>
                <w:szCs w:val="19"/>
              </w:rPr>
              <w:t xml:space="preserve">HiClimaX currently exists as a promising technical seed — 6 active repositories, 5 team members, an MIT-licensed multi-method downscaling architecture, and an accompanying academic paper. To become a paradigm — an approach that changes how the field works — it must be built on three interlocking pillars: (1) scientific credibility anchored by a published GMD paper and a formal benchmarking protocol aligned with WMO/CORDEX standards; (2) an open community platform that attracts global contributors and creates a gravity field for the field; and (3) a sustainable business ecosystem that converts scientific outputs into climate services, API products, and policy instruments. This document maps the concrete actions required across each pillar over a 36-month horizon.</w:t>
            </w:r>
          </w:p>
        </w:tc>
      </w:tr>
    </w:tbl>
    <w:p>
      <w:pPr>
        <w:spacing w:after="40" w:before="40"/>
      </w:pPr>
      <w:r>
        <w:t xml:space="preserve"/>
      </w:r>
    </w:p>
    <w:p>
      <w:pPr>
        <w:pStyle w:val="Heading1"/>
        <w:pBdr>
          <w:bottom w:val="single" w:color="2E9CCA" w:sz="10" w:space="4"/>
        </w:pBdr>
        <w:spacing w:after="100" w:before="400"/>
      </w:pPr>
      <w:r>
        <w:rPr>
          <w:rFonts w:ascii="Calibri" w:cs="Calibri" w:eastAsia="Calibri" w:hAnsi="Calibri"/>
          <w:b/>
          <w:bCs/>
          <w:color w:val="0D2B55"/>
          <w:sz w:val="32"/>
          <w:szCs w:val="32"/>
        </w:rPr>
        <w:t xml:space="preserve">1. Current State Diagnosis</w:t>
      </w:r>
    </w:p>
    <w:p>
      <w:pPr>
        <w:spacing w:after="80" w:before="60" w:line="284" w:lineRule="auto"/>
        <w:jc w:val="left"/>
      </w:pPr>
      <w:r>
        <w:rPr>
          <w:rFonts w:ascii="Calibri" w:cs="Calibri" w:eastAsia="Calibri" w:hAnsi="Calibri"/>
          <w:color w:val="1A1A2E"/>
          <w:sz w:val="20"/>
          <w:szCs w:val="20"/>
        </w:rPr>
        <w:t xml:space="preserve">Based on a review of the GitHub organization (github.com/HiClimaX) and the accompanying manuscript, the following gap analysis summarizes where HiClimaX stands today versus where a paradigm-setting framework needs to be.</w:t>
      </w:r>
    </w:p>
    <w:p>
      <w:pPr>
        <w:spacing w:after="4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1200"/>
      </w:tblGrid>
      <w:tr>
        <w:trPr>
          <w:tblHeader/>
        </w:trPr>
        <w:tc>
          <w:tcPr>
            <w:tcW w:type="dxa" w:w="26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Dimension</w:t>
            </w:r>
          </w:p>
        </w:tc>
        <w:tc>
          <w:tcPr>
            <w:tcW w:type="dxa" w:w="25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Current State</w:t>
            </w:r>
          </w:p>
        </w:tc>
        <w:tc>
          <w:tcPr>
            <w:tcW w:type="dxa" w:w="25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Paradigm Target</w:t>
            </w:r>
          </w:p>
        </w:tc>
        <w:tc>
          <w:tcPr>
            <w:tcW w:type="dxa" w:w="12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Gap Severity</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000000"/>
                <w:sz w:val="18"/>
                <w:szCs w:val="18"/>
              </w:rPr>
              <w:t xml:space="preserve">Repositories</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6 repos (D-DS, PGW×2, LSP-DS, website); no AI-DS, SDS, SD-DS</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9–12 repos covering all 6 method families + orchestration + data + benchmarking</w:t>
            </w:r>
          </w:p>
        </w:tc>
        <w:tc>
          <w:tcPr>
            <w:tcW w:type="dxa" w:w="1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00000"/>
                <w:sz w:val="18"/>
                <w:szCs w:val="18"/>
              </w:rPr>
              <w:t xml:space="preserve">HIGH</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000000"/>
                <w:sz w:val="18"/>
                <w:szCs w:val="18"/>
              </w:rPr>
              <w:t xml:space="preserve">Community engagement</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0–1 stars, 0 forks, 5 team members, no discussions enabled</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100+ stars, 30+ forks, active Issues/Discussions, global contributors</w:t>
            </w:r>
          </w:p>
        </w:tc>
        <w:tc>
          <w:tcPr>
            <w:tcW w:type="dxa" w:w="1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C00000"/>
                <w:sz w:val="18"/>
                <w:szCs w:val="18"/>
              </w:rPr>
              <w:t xml:space="preserve">CRITICAL</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000000"/>
                <w:sz w:val="18"/>
                <w:szCs w:val="18"/>
              </w:rPr>
              <w:t xml:space="preserve">Website / Documentation</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hiclimax.github.io is blank (title only)</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Full documentation portal: quickstart, API reference, tutorials, gallery</w:t>
            </w:r>
          </w:p>
        </w:tc>
        <w:tc>
          <w:tcPr>
            <w:tcW w:type="dxa" w:w="1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00000"/>
                <w:sz w:val="18"/>
                <w:szCs w:val="18"/>
              </w:rPr>
              <w:t xml:space="preserve">CRITICAL</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000000"/>
                <w:sz w:val="18"/>
                <w:szCs w:val="18"/>
              </w:rPr>
              <w:t xml:space="preserve">Scientific publication</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Manuscript in draft; 2 module sections empty; no quantitative results</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Peer-reviewed GMD paper; Zenodo archive; citation count growing</w:t>
            </w:r>
          </w:p>
        </w:tc>
        <w:tc>
          <w:tcPr>
            <w:tcW w:type="dxa" w:w="1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C55A11"/>
                <w:sz w:val="18"/>
                <w:szCs w:val="18"/>
              </w:rPr>
              <w:t xml:space="preserve">HIGH</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000000"/>
                <w:sz w:val="18"/>
                <w:szCs w:val="18"/>
              </w:rPr>
              <w:t xml:space="preserve">Standardization</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Each repo has its own structure; no shared schema or API contract</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Common I/O schema (CF-conventions compliant); module registration protocol</w:t>
            </w:r>
          </w:p>
        </w:tc>
        <w:tc>
          <w:tcPr>
            <w:tcW w:type="dxa" w:w="1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55A11"/>
                <w:sz w:val="18"/>
                <w:szCs w:val="18"/>
              </w:rPr>
              <w:t xml:space="preserve">HIGH</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000000"/>
                <w:sz w:val="18"/>
                <w:szCs w:val="18"/>
              </w:rPr>
              <w:t xml:space="preserve">Benchmarking</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No shared evaluation protocol or benchmark dataset</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 Benchmark Suite (HBS): standardized metrics, reference datasets, leaderboard</w:t>
            </w:r>
          </w:p>
        </w:tc>
        <w:tc>
          <w:tcPr>
            <w:tcW w:type="dxa" w:w="1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C55A11"/>
                <w:sz w:val="18"/>
                <w:szCs w:val="18"/>
              </w:rPr>
              <w:t xml:space="preserve">HIGH</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000000"/>
                <w:sz w:val="18"/>
                <w:szCs w:val="18"/>
              </w:rPr>
              <w:t xml:space="preserve">WMO/IPCC alignment</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Not connected to any WMO programme or IPCC process</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Endorsed data provider under GFCS; contributor to CORDEX-Urban; cited in AR7 WGII</w:t>
            </w:r>
          </w:p>
        </w:tc>
        <w:tc>
          <w:tcPr>
            <w:tcW w:type="dxa" w:w="1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6900A"/>
                <w:sz w:val="18"/>
                <w:szCs w:val="18"/>
              </w:rPr>
              <w:t xml:space="preserve">MEDIUM</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000000"/>
                <w:sz w:val="18"/>
                <w:szCs w:val="18"/>
              </w:rPr>
              <w:t xml:space="preserve">Business model</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None — purely academic open-source</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Tiered services: free open core + commercial API + consultancy + training</w:t>
            </w:r>
          </w:p>
        </w:tc>
        <w:tc>
          <w:tcPr>
            <w:tcW w:type="dxa" w:w="1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C6900A"/>
                <w:sz w:val="18"/>
                <w:szCs w:val="18"/>
              </w:rPr>
              <w:t xml:space="preserve">MEDIUM</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000000"/>
                <w:sz w:val="18"/>
                <w:szCs w:val="18"/>
              </w:rPr>
              <w:t xml:space="preserve">Containerisation / CI</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environment.yml present in some repos; no CI pipelines visible</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Docker images per module; GitHub Actions CI; automated test suites</w:t>
            </w:r>
          </w:p>
        </w:tc>
        <w:tc>
          <w:tcPr>
            <w:tcW w:type="dxa" w:w="1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55A11"/>
                <w:sz w:val="18"/>
                <w:szCs w:val="18"/>
              </w:rPr>
              <w:t xml:space="preserve">HIGH</w:t>
            </w:r>
          </w:p>
        </w:tc>
      </w:tr>
    </w:tbl>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0D2B55"/>
          <w:sz w:val="32"/>
          <w:szCs w:val="32"/>
        </w:rPr>
        <w:t xml:space="preserve">2. Defining the Paradigm</w:t>
      </w:r>
    </w:p>
    <w:p>
      <w:pPr>
        <w:spacing w:after="80" w:before="60" w:line="284" w:lineRule="auto"/>
        <w:jc w:val="left"/>
      </w:pPr>
      <w:r>
        <w:rPr>
          <w:rFonts w:ascii="Calibri" w:cs="Calibri" w:eastAsia="Calibri" w:hAnsi="Calibri"/>
          <w:color w:val="1A1A2E"/>
          <w:sz w:val="20"/>
          <w:szCs w:val="20"/>
        </w:rPr>
        <w:t xml:space="preserve">A paradigm in computational climate science is not just a useful tool — it is the default way the field approaches a class of problems. Three historical examples define what 'paradigm' means in practice:</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00"/>
      </w:tblGrid>
      <w:tr>
        <w:trPr>
          <w:tblHeader/>
        </w:trPr>
        <w:tc>
          <w:tcPr>
            <w:tcW w:type="dxa" w:w="24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Paradigm Framework</w:t>
            </w:r>
          </w:p>
        </w:tc>
        <w:tc>
          <w:tcPr>
            <w:tcW w:type="dxa" w:w="40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What changed</w:t>
            </w:r>
          </w:p>
        </w:tc>
        <w:tc>
          <w:tcPr>
            <w:tcW w:type="dxa" w:w="28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Adoption signal</w:t>
            </w:r>
          </w:p>
        </w:tc>
      </w:tr>
      <w:tr>
        <w:tc>
          <w:tcPr>
            <w:tcW w:type="dxa" w:w="2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CMIP (1995→present)</w:t>
            </w:r>
          </w:p>
        </w:tc>
        <w:tc>
          <w:tcPr>
            <w:tcW w:type="dxa" w:w="4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Standardized GCM intercomparison became the default for IPCC assessments; no projection paper ignores CMIP</w:t>
            </w:r>
          </w:p>
        </w:tc>
        <w:tc>
          <w:tcPr>
            <w:tcW w:type="dxa" w:w="2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Cited &gt;50,000 times; mandatory input to IPCC WGI</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CORDEX (2009→present)</w:t>
            </w:r>
          </w:p>
        </w:tc>
        <w:tc>
          <w:tcPr>
            <w:tcW w:type="dxa" w:w="4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Defined common RCM domains, protocols, and evaluation standards; regional projections now reported via CORDEX</w:t>
            </w:r>
          </w:p>
        </w:tc>
        <w:tc>
          <w:tcPr>
            <w:tcW w:type="dxa" w:w="2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Used in IPCC AR5, AR6; 50+ modelling groups; 14 domains</w:t>
            </w:r>
          </w:p>
        </w:tc>
      </w:tr>
      <w:tr>
        <w:tc>
          <w:tcPr>
            <w:tcW w:type="dxa" w:w="2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Pangeo (2018→present)</w:t>
            </w:r>
          </w:p>
        </w:tc>
        <w:tc>
          <w:tcPr>
            <w:tcW w:type="dxa" w:w="4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Shifted the field from file-based workflows to cloud-native, Zarr/xarray/Dask analysis; no large-scale climate analysis ignores it</w:t>
            </w:r>
          </w:p>
        </w:tc>
        <w:tc>
          <w:tcPr>
            <w:tcW w:type="dxa" w:w="2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10,000+ GitHub stars; used by NCAR, ECMWF, NASA</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857C" w:sz="8"/>
              <w:left w:val="thick" w:color="00857C" w:sz="28"/>
              <w:bottom w:val="single" w:color="00857C" w:sz="2"/>
              <w:right w:val="nil"/>
            </w:tcBorders>
            <w:shd w:fill="D0EEEB" w:val="clear"/>
            <w:tcMar>
              <w:top w:type="dxa" w:w="140"/>
              <w:left w:type="dxa" w:w="220"/>
              <w:bottom w:type="dxa" w:w="140"/>
              <w:right w:type="dxa" w:w="220"/>
            </w:tcMar>
          </w:tcPr>
          <w:p>
            <w:pPr>
              <w:spacing w:after="60" w:before="0"/>
            </w:pPr>
            <w:r>
              <w:rPr>
                <w:rFonts w:ascii="Calibri" w:cs="Calibri" w:eastAsia="Calibri" w:hAnsi="Calibri"/>
                <w:b/>
                <w:bCs/>
                <w:color w:val="00857C"/>
                <w:sz w:val="19"/>
                <w:szCs w:val="19"/>
              </w:rPr>
              <w:t xml:space="preserve">The HiClimaX Paradigm Proposition</w:t>
            </w:r>
          </w:p>
          <w:p>
            <w:pPr>
              <w:spacing w:after="0" w:before="0"/>
            </w:pPr>
            <w:r>
              <w:rPr>
                <w:rFonts w:ascii="Calibri" w:cs="Calibri" w:eastAsia="Calibri" w:hAnsi="Calibri"/>
                <w:sz w:val="19"/>
                <w:szCs w:val="19"/>
              </w:rPr>
              <w:t xml:space="preserve">HiClimaX's paradigm claim is distinct from CMIP and CORDEX. It does not compete with them — it lives downstream. Its proposition is: 'For any city that needs a climate projection, HiClimaX is the framework through which multiple downscaling methods are run, compared, and delivered as an ensemble.' The paradigm is defined by three attributes: (1) METHOD PLURALISM — any valid downscaling method can be plugged in via a standard module interface; (2) URBAN SPECIFICITY — the framework natively handles urban morphology, UHI, and anthropogenic heat in ways no existing platform does; (3) DECISION-READY OUTPUTS — results are produced not just as NetCDF files but as probability distributions, storylines, and service-ready APIs consumed by planners, insurers, and governments.</w:t>
            </w:r>
          </w:p>
        </w:tc>
      </w:tr>
    </w:tbl>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1A5E9A"/>
          <w:sz w:val="32"/>
          <w:szCs w:val="32"/>
        </w:rPr>
        <w:t xml:space="preserve">3. Pillar I — Scientific Credibility &amp; Standards</w:t>
      </w:r>
    </w:p>
    <w:p>
      <w:pPr>
        <w:spacing w:after="80" w:before="60" w:line="284" w:lineRule="auto"/>
        <w:jc w:val="left"/>
      </w:pPr>
      <w:r>
        <w:rPr>
          <w:rFonts w:ascii="Calibri" w:cs="Calibri" w:eastAsia="Calibri" w:hAnsi="Calibri"/>
          <w:color w:val="1A1A2E"/>
          <w:sz w:val="20"/>
          <w:szCs w:val="20"/>
        </w:rPr>
        <w:t xml:space="preserve">Without a published, peer-reviewed anchor paper and a formal benchmarking protocol, HiClimaX cannot be adopted by the broader community. Credibility is the gateway to every other opportunity.</w:t>
      </w:r>
    </w:p>
    <w:p>
      <w:pPr>
        <w:spacing w:after="30" w:before="30"/>
      </w:pPr>
      <w:r>
        <w:t xml:space="preserve"/>
      </w:r>
    </w:p>
    <w:p>
      <w:pPr>
        <w:pStyle w:val="Heading2"/>
        <w:spacing w:after="100" w:before="260"/>
      </w:pPr>
      <w:r>
        <w:rPr>
          <w:rFonts w:ascii="Calibri" w:cs="Calibri" w:eastAsia="Calibri" w:hAnsi="Calibri"/>
          <w:b/>
          <w:bCs/>
          <w:color w:val="0D2B55"/>
          <w:sz w:val="26"/>
          <w:szCs w:val="26"/>
        </w:rPr>
        <w:t xml:space="preserve">3.1  Complete the GMD Paper — Non-Negotiable First Step</w:t>
      </w:r>
    </w:p>
    <w:p>
      <w:pPr>
        <w:spacing w:after="80" w:before="60" w:line="284" w:lineRule="auto"/>
        <w:jc w:val="left"/>
      </w:pPr>
      <w:r>
        <w:rPr>
          <w:rFonts w:ascii="Calibri" w:cs="Calibri" w:eastAsia="Calibri" w:hAnsi="Calibri"/>
          <w:color w:val="1A1A2E"/>
          <w:sz w:val="20"/>
          <w:szCs w:val="20"/>
        </w:rPr>
        <w:t xml:space="preserve">All issues identified in the Critical Review (companion document) must be resolved before submission. The paper is the scientific passport that legitimizes every downstream application.</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E9A" w:sz="8"/>
              <w:left w:val="thick" w:color="1A5E9A" w:sz="28"/>
              <w:bottom w:val="single" w:color="1A5E9A" w:sz="2"/>
              <w:right w:val="nil"/>
            </w:tcBorders>
            <w:shd w:fill="D6E8F5" w:val="clear"/>
            <w:tcMar>
              <w:top w:type="dxa" w:w="140"/>
              <w:left w:type="dxa" w:w="220"/>
              <w:bottom w:type="dxa" w:w="140"/>
              <w:right w:type="dxa" w:w="220"/>
            </w:tcMar>
          </w:tcPr>
          <w:p>
            <w:pPr>
              <w:spacing w:after="60" w:before="0"/>
            </w:pPr>
            <w:r>
              <w:rPr>
                <w:rFonts w:ascii="Calibri" w:cs="Calibri" w:eastAsia="Calibri" w:hAnsi="Calibri"/>
                <w:b/>
                <w:bCs/>
                <w:color w:val="1A5E9A"/>
                <w:sz w:val="19"/>
                <w:szCs w:val="19"/>
              </w:rPr>
              <w:t xml:space="preserve">Why GMD specifically?</w:t>
            </w:r>
          </w:p>
          <w:p>
            <w:pPr>
              <w:spacing w:after="0" w:before="0"/>
            </w:pPr>
            <w:r>
              <w:rPr>
                <w:rFonts w:ascii="Calibri" w:cs="Calibri" w:eastAsia="Calibri" w:hAnsi="Calibri"/>
                <w:sz w:val="19"/>
                <w:szCs w:val="19"/>
              </w:rPr>
              <w:t xml:space="preserve">Geoscientific Model Development is the journal of record for documented, reproducible modelling frameworks. A GMD paper signals to the community that HiClimaX is not a research prototype but a maintained, citable scientific infrastructure. It also fulfils the institutional requirement for WMO data provider applications and CORDEX partnership discussions.</w:t>
            </w:r>
          </w:p>
        </w:tc>
      </w:tr>
    </w:tbl>
    <w:p>
      <w:pPr>
        <w:spacing w:after="30" w:before="30"/>
      </w:pPr>
      <w:r>
        <w:t xml:space="preserve"/>
      </w:r>
    </w:p>
    <w:p>
      <w:pPr>
        <w:pStyle w:val="Heading2"/>
        <w:spacing w:after="100" w:before="260"/>
      </w:pPr>
      <w:r>
        <w:rPr>
          <w:rFonts w:ascii="Calibri" w:cs="Calibri" w:eastAsia="Calibri" w:hAnsi="Calibri"/>
          <w:b/>
          <w:bCs/>
          <w:color w:val="0D2B55"/>
          <w:sz w:val="26"/>
          <w:szCs w:val="26"/>
        </w:rPr>
        <w:t xml:space="preserve">3.2  The HiClimaX Benchmark Suite (HBS)</w:t>
      </w:r>
    </w:p>
    <w:p>
      <w:pPr>
        <w:spacing w:after="80" w:before="60" w:line="284" w:lineRule="auto"/>
        <w:jc w:val="left"/>
      </w:pPr>
      <w:r>
        <w:rPr>
          <w:rFonts w:ascii="Calibri" w:cs="Calibri" w:eastAsia="Calibri" w:hAnsi="Calibri"/>
          <w:color w:val="1A1A2E"/>
          <w:sz w:val="20"/>
          <w:szCs w:val="20"/>
        </w:rPr>
        <w:t xml:space="preserve">The most powerful tool for community adoption is a shared benchmark — a fixed dataset and evaluation protocol against which any downscaling method can be scored. HBS should be designed as follows:</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000"/>
      </w:tblGrid>
      <w:tr>
        <w:trPr>
          <w:tblHeader/>
        </w:trPr>
        <w:tc>
          <w:tcPr>
            <w:tcW w:type="dxa" w:w="2400"/>
            <w:tcBorders>
              <w:top w:val="single" w:color="DDDDDD" w:sz="3"/>
              <w:left w:val="single" w:color="DDDDDD" w:sz="3"/>
              <w:bottom w:val="single" w:color="DDDDDD" w:sz="3"/>
              <w:right w:val="single" w:color="DDDDDD" w:sz="3"/>
            </w:tcBorders>
            <w:shd w:fill="1A5E9A" w:val="clear"/>
            <w:tcMar>
              <w:top w:type="dxa" w:w="80"/>
              <w:left w:type="dxa" w:w="110"/>
              <w:bottom w:type="dxa" w:w="80"/>
              <w:right w:type="dxa" w:w="110"/>
            </w:tcMar>
          </w:tcPr>
          <w:p>
            <w:r>
              <w:rPr>
                <w:rFonts w:ascii="Calibri" w:cs="Calibri" w:eastAsia="Calibri" w:hAnsi="Calibri"/>
                <w:b/>
                <w:bCs/>
                <w:color w:val="FFFFFF"/>
                <w:sz w:val="18"/>
                <w:szCs w:val="18"/>
              </w:rPr>
              <w:t xml:space="preserve">HBS Component</w:t>
            </w:r>
          </w:p>
        </w:tc>
        <w:tc>
          <w:tcPr>
            <w:tcW w:type="dxa" w:w="3800"/>
            <w:tcBorders>
              <w:top w:val="single" w:color="DDDDDD" w:sz="3"/>
              <w:left w:val="single" w:color="DDDDDD" w:sz="3"/>
              <w:bottom w:val="single" w:color="DDDDDD" w:sz="3"/>
              <w:right w:val="single" w:color="DDDDDD" w:sz="3"/>
            </w:tcBorders>
            <w:shd w:fill="1A5E9A" w:val="clear"/>
            <w:tcMar>
              <w:top w:type="dxa" w:w="80"/>
              <w:left w:type="dxa" w:w="110"/>
              <w:bottom w:type="dxa" w:w="80"/>
              <w:right w:type="dxa" w:w="110"/>
            </w:tcMar>
          </w:tcPr>
          <w:p>
            <w:r>
              <w:rPr>
                <w:rFonts w:ascii="Calibri" w:cs="Calibri" w:eastAsia="Calibri" w:hAnsi="Calibri"/>
                <w:b/>
                <w:bCs/>
                <w:color w:val="FFFFFF"/>
                <w:sz w:val="18"/>
                <w:szCs w:val="18"/>
              </w:rPr>
              <w:t xml:space="preserve">Description</w:t>
            </w:r>
          </w:p>
        </w:tc>
        <w:tc>
          <w:tcPr>
            <w:tcW w:type="dxa" w:w="3000"/>
            <w:tcBorders>
              <w:top w:val="single" w:color="DDDDDD" w:sz="3"/>
              <w:left w:val="single" w:color="DDDDDD" w:sz="3"/>
              <w:bottom w:val="single" w:color="DDDDDD" w:sz="3"/>
              <w:right w:val="single" w:color="DDDDDD" w:sz="3"/>
            </w:tcBorders>
            <w:shd w:fill="1A5E9A" w:val="clear"/>
            <w:tcMar>
              <w:top w:type="dxa" w:w="80"/>
              <w:left w:type="dxa" w:w="110"/>
              <w:bottom w:type="dxa" w:w="80"/>
              <w:right w:type="dxa" w:w="110"/>
            </w:tcMar>
          </w:tcPr>
          <w:p>
            <w:r>
              <w:rPr>
                <w:rFonts w:ascii="Calibri" w:cs="Calibri" w:eastAsia="Calibri" w:hAnsi="Calibri"/>
                <w:b/>
                <w:bCs/>
                <w:color w:val="FFFFFF"/>
                <w:sz w:val="18"/>
                <w:szCs w:val="18"/>
              </w:rPr>
              <w:t xml:space="preserve">Implementation Path</w:t>
            </w:r>
          </w:p>
        </w:tc>
      </w:tr>
      <w:tr>
        <w:tc>
          <w:tcPr>
            <w:tcW w:type="dxa" w:w="2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Reference Cities Dataset</w:t>
            </w:r>
          </w:p>
        </w:tc>
        <w:tc>
          <w:tcPr>
            <w:tcW w:type="dxa" w:w="3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Pre-processed ERA5 + CMIP6 + urban parameters for 5 cities (Tokyo, Ho Chi Minh City, Brussels + 2 Global South cities) in a standardized Zarr archive on Zenodo</w:t>
            </w:r>
          </w:p>
        </w:tc>
        <w:tc>
          <w:tcPr>
            <w:tcW w:type="dxa" w:w="3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Create as part of GMD submission; DOI-linked; CC-BY licensed</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Evaluation Metrics Protocol</w:t>
            </w:r>
          </w:p>
        </w:tc>
        <w:tc>
          <w:tcPr>
            <w:tcW w:type="dxa" w:w="3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Standardized Python package (hiclimax-eval) computing 15 metrics: Bias, RMSE, Pearson r, Taylor skill score, Rx1day bias, TX90p bias, UHII RMSE, Brier score for extremes, and 7 others</w:t>
            </w:r>
          </w:p>
        </w:tc>
        <w:tc>
          <w:tcPr>
            <w:tcW w:type="dxa" w:w="3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pip install hiclimax-eval; automated in CI; outputs compliant with WMO ETCCDI</w:t>
            </w:r>
          </w:p>
        </w:tc>
      </w:tr>
      <w:tr>
        <w:tc>
          <w:tcPr>
            <w:tcW w:type="dxa" w:w="2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Module Submission Template</w:t>
            </w:r>
          </w:p>
        </w:tc>
        <w:tc>
          <w:tcPr>
            <w:tcW w:type="dxa" w:w="3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GitHub repo template with defined folder structure, input/output schema (CF-1.9 compliant NetCDF), required README, required benchmark run script</w:t>
            </w:r>
          </w:p>
        </w:tc>
        <w:tc>
          <w:tcPr>
            <w:tcW w:type="dxa" w:w="3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GitHub template repository; enforced via GitHub Actions</w:t>
            </w:r>
          </w:p>
        </w:tc>
      </w:tr>
      <w:tr>
        <w:tc>
          <w:tcPr>
            <w:tcW w:type="dxa" w:w="2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Leaderboard</w:t>
            </w:r>
          </w:p>
        </w:tc>
        <w:tc>
          <w:tcPr>
            <w:tcW w:type="dxa" w:w="3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Public web page ranking submitted modules by benchmark performance across cities and variables; updated automatically on module registration</w:t>
            </w:r>
          </w:p>
        </w:tc>
        <w:tc>
          <w:tcPr>
            <w:tcW w:type="dxa" w:w="3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Static site (GitHub Pages) updated via CI/CD on new submissions</w:t>
            </w:r>
          </w:p>
        </w:tc>
      </w:tr>
      <w:tr>
        <w:tc>
          <w:tcPr>
            <w:tcW w:type="dxa" w:w="2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Reproducibility Badge</w:t>
            </w:r>
          </w:p>
        </w:tc>
        <w:tc>
          <w:tcPr>
            <w:tcW w:type="dxa" w:w="3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Automated badge (similar to JOSS reproducibility badge) awarded when a module's benchmark scores are verified by the CI system</w:t>
            </w:r>
          </w:p>
        </w:tc>
        <w:tc>
          <w:tcPr>
            <w:tcW w:type="dxa" w:w="3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GitHub Actions + Zenodo archiving workflow</w:t>
            </w:r>
          </w:p>
        </w:tc>
      </w:tr>
    </w:tbl>
    <w:p>
      <w:pPr>
        <w:spacing w:after="40" w:before="40"/>
      </w:pPr>
      <w:r>
        <w:t xml:space="preserve"/>
      </w:r>
    </w:p>
    <w:p>
      <w:pPr>
        <w:pStyle w:val="Heading2"/>
        <w:spacing w:after="100" w:before="260"/>
      </w:pPr>
      <w:r>
        <w:rPr>
          <w:rFonts w:ascii="Calibri" w:cs="Calibri" w:eastAsia="Calibri" w:hAnsi="Calibri"/>
          <w:b/>
          <w:bCs/>
          <w:color w:val="0D2B55"/>
          <w:sz w:val="26"/>
          <w:szCs w:val="26"/>
        </w:rPr>
        <w:t xml:space="preserve">3.3  CORDEX-Urban Alignment</w:t>
      </w:r>
    </w:p>
    <w:p>
      <w:pPr>
        <w:spacing w:after="80" w:before="60" w:line="284" w:lineRule="auto"/>
        <w:jc w:val="left"/>
      </w:pPr>
      <w:r>
        <w:rPr>
          <w:rFonts w:ascii="Calibri" w:cs="Calibri" w:eastAsia="Calibri" w:hAnsi="Calibri"/>
          <w:color w:val="1A1A2E"/>
          <w:sz w:val="20"/>
          <w:szCs w:val="20"/>
        </w:rPr>
        <w:t xml:space="preserve">CORDEX (Coordinated Regional Climate Downscaling Experiment) is the WMO-endorsed framework for regional climate projections. An active CORDEX-Urban working group is emerging. HiClimaX should position itself as the reference implementation framework for CORDEX-Urban experiments. Concrete steps:</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Contact the CORDEX Scientific Advisory Team (cordex.org) and propose HiClimaX as a benchmark platform for the next CORDEX-Urban call for experiments</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Align HiClimaX domain naming conventions and output variables with CORDEX standard variable tables (see CORDEX data archive specifications)</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Invite one CORDEX-Urban PI as a co-author on the GMD paper — this creates an institutional bridge</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Submit an abstract to the next WMO/WCRP Open Science Conference presenting HiClimaX as a CORDEX-Urban prototype</w:t>
      </w:r>
    </w:p>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00857C"/>
          <w:sz w:val="32"/>
          <w:szCs w:val="32"/>
        </w:rPr>
        <w:t xml:space="preserve">4. Pillar II — Open Community Platform</w:t>
      </w:r>
    </w:p>
    <w:p>
      <w:pPr>
        <w:spacing w:after="80" w:before="60" w:line="284" w:lineRule="auto"/>
        <w:jc w:val="left"/>
      </w:pPr>
      <w:r>
        <w:rPr>
          <w:rFonts w:ascii="Calibri" w:cs="Calibri" w:eastAsia="Calibri" w:hAnsi="Calibri"/>
          <w:color w:val="1A1A2E"/>
          <w:sz w:val="20"/>
          <w:szCs w:val="20"/>
        </w:rPr>
        <w:t xml:space="preserve">The difference between a tool and a paradigm is whether other people build on it. HiClimaX needs to become a gravitational centre that attracts contributors, creates network effects, and becomes the default starting point for urban climate downscaling research worldwide.</w:t>
      </w:r>
    </w:p>
    <w:p>
      <w:pPr>
        <w:spacing w:after="30" w:before="30"/>
      </w:pPr>
      <w:r>
        <w:t xml:space="preserve"/>
      </w:r>
    </w:p>
    <w:p>
      <w:pPr>
        <w:pStyle w:val="Heading2"/>
        <w:spacing w:after="100" w:before="260"/>
      </w:pPr>
      <w:r>
        <w:rPr>
          <w:rFonts w:ascii="Calibri" w:cs="Calibri" w:eastAsia="Calibri" w:hAnsi="Calibri"/>
          <w:b/>
          <w:bCs/>
          <w:color w:val="0D2B55"/>
          <w:sz w:val="26"/>
          <w:szCs w:val="26"/>
        </w:rPr>
        <w:t xml:space="preserve">4.1  GitHub Organization Architecture</w:t>
      </w:r>
    </w:p>
    <w:p>
      <w:pPr>
        <w:spacing w:after="80" w:before="60" w:line="284" w:lineRule="auto"/>
        <w:jc w:val="left"/>
      </w:pPr>
      <w:r>
        <w:rPr>
          <w:rFonts w:ascii="Calibri" w:cs="Calibri" w:eastAsia="Calibri" w:hAnsi="Calibri"/>
          <w:color w:val="1A1A2E"/>
          <w:sz w:val="20"/>
          <w:szCs w:val="20"/>
        </w:rPr>
        <w:t xml:space="preserve">The current flat list of module repositories needs a structured architecture that makes the framework immediately understandable to a new visitor. The recommended organization structure:</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000"/>
      </w:tblGrid>
      <w:tr>
        <w:trPr>
          <w:tblHeader/>
        </w:trPr>
        <w:tc>
          <w:tcPr>
            <w:tcW w:type="dxa" w:w="22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Repository</w:t>
            </w:r>
          </w:p>
        </w:tc>
        <w:tc>
          <w:tcPr>
            <w:tcW w:type="dxa" w:w="32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Purpose</w:t>
            </w:r>
          </w:p>
        </w:tc>
        <w:tc>
          <w:tcPr>
            <w:tcW w:type="dxa" w:w="18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Language / Stack</w:t>
            </w:r>
          </w:p>
        </w:tc>
        <w:tc>
          <w:tcPr>
            <w:tcW w:type="dxa" w:w="20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Priority</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.github</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Organization profile README, issue templates, PR templates, community health files</w:t>
            </w:r>
          </w:p>
        </w:tc>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Markdown</w:t>
            </w:r>
          </w:p>
        </w:tc>
        <w:tc>
          <w:tcPr>
            <w:tcW w:type="dxa" w:w="2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00000"/>
                <w:sz w:val="18"/>
                <w:szCs w:val="18"/>
              </w:rPr>
              <w:t xml:space="preserve">Week 1</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hiclimax-core</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Shared orchestration layer: module registry, I/O schema, ensemble engine, CLI entry point</w:t>
            </w:r>
          </w:p>
        </w:tc>
        <w:tc>
          <w:tcPr>
            <w:tcW w:type="dxa" w:w="1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w:t>
            </w:r>
          </w:p>
        </w:tc>
        <w:tc>
          <w:tcPr>
            <w:tcW w:type="dxa" w:w="2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C55A11"/>
                <w:sz w:val="18"/>
                <w:szCs w:val="18"/>
              </w:rPr>
              <w:t xml:space="preserve">Month 1</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hiclimax-data</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Data download and preprocessing: ERA5, CMIP6, IMERG, urban parameter datasets</w:t>
            </w:r>
          </w:p>
        </w:tc>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w:t>
            </w:r>
          </w:p>
        </w:tc>
        <w:tc>
          <w:tcPr>
            <w:tcW w:type="dxa" w:w="2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55A11"/>
                <w:sz w:val="18"/>
                <w:szCs w:val="18"/>
              </w:rPr>
              <w:t xml:space="preserve">Month 1</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hiclimax-eval</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Benchmark evaluation package: metrics, Taylor diagrams, leaderboard generator</w:t>
            </w:r>
          </w:p>
        </w:tc>
        <w:tc>
          <w:tcPr>
            <w:tcW w:type="dxa" w:w="1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w:t>
            </w:r>
          </w:p>
        </w:tc>
        <w:tc>
          <w:tcPr>
            <w:tcW w:type="dxa" w:w="2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bCs/>
                <w:color w:val="C55A11"/>
                <w:sz w:val="18"/>
                <w:szCs w:val="18"/>
              </w:rPr>
              <w:t xml:space="preserve">Month 2</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D-DS_WRF</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Direct dynamical downscaling (WRF) — exists, needs standardisation</w:t>
            </w:r>
          </w:p>
        </w:tc>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 + Fortran</w:t>
            </w:r>
          </w:p>
        </w:tc>
        <w:tc>
          <w:tcPr>
            <w:tcW w:type="dxa" w:w="2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55A11"/>
                <w:sz w:val="18"/>
                <w:szCs w:val="18"/>
              </w:rPr>
              <w:t xml:space="preserve">Month 1</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D-DS_RegCM</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Direct dynamical downscaling (RegCM) — exists, needs standardisation</w:t>
            </w:r>
          </w:p>
        </w:tc>
        <w:tc>
          <w:tcPr>
            <w:tcW w:type="dxa" w:w="1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 + Fortran</w:t>
            </w:r>
          </w:p>
        </w:tc>
        <w:tc>
          <w:tcPr>
            <w:tcW w:type="dxa" w:w="2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C6900A"/>
                <w:sz w:val="18"/>
                <w:szCs w:val="18"/>
              </w:rPr>
              <w:t xml:space="preserve">Month 2</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PGW-DS_WRF</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PGW downscaling (WRF) — most mature repo, 83 commits</w:t>
            </w:r>
          </w:p>
        </w:tc>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 + Jupyter</w:t>
            </w:r>
          </w:p>
        </w:tc>
        <w:tc>
          <w:tcPr>
            <w:tcW w:type="dxa" w:w="2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55A11"/>
                <w:sz w:val="18"/>
                <w:szCs w:val="18"/>
              </w:rPr>
              <w:t xml:space="preserve">Month 1</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PGW-DS_RegCM</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PGW downscaling (RegCM) — exists</w:t>
            </w:r>
          </w:p>
        </w:tc>
        <w:tc>
          <w:tcPr>
            <w:tcW w:type="dxa" w:w="1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 + Fortran</w:t>
            </w:r>
          </w:p>
        </w:tc>
        <w:tc>
          <w:tcPr>
            <w:tcW w:type="dxa" w:w="2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C6900A"/>
                <w:sz w:val="18"/>
                <w:szCs w:val="18"/>
              </w:rPr>
              <w:t xml:space="preserve">Month 2</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LSP-DS_HRLDAS</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Land-surface physics (HRLDAS) — exists</w:t>
            </w:r>
          </w:p>
        </w:tc>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Fortran + Python</w:t>
            </w:r>
          </w:p>
        </w:tc>
        <w:tc>
          <w:tcPr>
            <w:tcW w:type="dxa" w:w="2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C6900A"/>
                <w:sz w:val="18"/>
                <w:szCs w:val="18"/>
              </w:rPr>
              <w:t xml:space="preserve">Month 2</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SD-DS</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Statistical–dynamical downscaling (weather typing + regression) — MISSING</w:t>
            </w:r>
          </w:p>
        </w:tc>
        <w:tc>
          <w:tcPr>
            <w:tcW w:type="dxa" w:w="1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w:t>
            </w:r>
          </w:p>
        </w:tc>
        <w:tc>
          <w:tcPr>
            <w:tcW w:type="dxa" w:w="2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C6900A"/>
                <w:sz w:val="18"/>
                <w:szCs w:val="18"/>
              </w:rPr>
              <w:t xml:space="preserve">Month 3</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SDS</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Statistical downscaling (SDSM-style, quantile mapping) — MISSING</w:t>
            </w:r>
          </w:p>
        </w:tc>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Python/R</w:t>
            </w:r>
          </w:p>
        </w:tc>
        <w:tc>
          <w:tcPr>
            <w:tcW w:type="dxa" w:w="2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C6900A"/>
                <w:sz w:val="18"/>
                <w:szCs w:val="18"/>
              </w:rPr>
              <w:t xml:space="preserve">Month 3</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AI-DS</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AI-based downscaling (CNN/GAN/Transformer) — MISSING</w:t>
            </w:r>
          </w:p>
        </w:tc>
        <w:tc>
          <w:tcPr>
            <w:tcW w:type="dxa" w:w="1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Python (PyTorch)</w:t>
            </w:r>
          </w:p>
        </w:tc>
        <w:tc>
          <w:tcPr>
            <w:tcW w:type="dxa" w:w="2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857C"/>
                <w:sz w:val="18"/>
                <w:szCs w:val="18"/>
              </w:rPr>
              <w:t xml:space="preserve">Month 4</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hiclimax-docs</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Full documentation website (MkDocs Material or JupyterBook)</w:t>
            </w:r>
          </w:p>
        </w:tc>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Markdown + Python</w:t>
            </w:r>
          </w:p>
        </w:tc>
        <w:tc>
          <w:tcPr>
            <w:tcW w:type="dxa" w:w="2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C55A11"/>
                <w:sz w:val="18"/>
                <w:szCs w:val="18"/>
              </w:rPr>
              <w:t xml:space="preserve">Month 2</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hiclimax-examples</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Jupyter notebooks reproducing case study results for Tokyo, HCMC, Brussels</w:t>
            </w:r>
          </w:p>
        </w:tc>
        <w:tc>
          <w:tcPr>
            <w:tcW w:type="dxa" w:w="1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Jupyter</w:t>
            </w:r>
          </w:p>
        </w:tc>
        <w:tc>
          <w:tcPr>
            <w:tcW w:type="dxa" w:w="2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C6900A"/>
                <w:sz w:val="18"/>
                <w:szCs w:val="18"/>
              </w:rPr>
              <w:t xml:space="preserve">Month 3</w:t>
            </w:r>
          </w:p>
        </w:tc>
      </w:tr>
    </w:tbl>
    <w:p>
      <w:pPr>
        <w:spacing w:after="40" w:before="40"/>
      </w:pPr>
      <w:r>
        <w:t xml:space="preserve"/>
      </w:r>
    </w:p>
    <w:p>
      <w:pPr>
        <w:pStyle w:val="Heading2"/>
        <w:spacing w:after="100" w:before="260"/>
      </w:pPr>
      <w:r>
        <w:rPr>
          <w:rFonts w:ascii="Calibri" w:cs="Calibri" w:eastAsia="Calibri" w:hAnsi="Calibri"/>
          <w:b/>
          <w:bCs/>
          <w:color w:val="0D2B55"/>
          <w:sz w:val="26"/>
          <w:szCs w:val="26"/>
        </w:rPr>
        <w:t xml:space="preserve">4.2  Documentation as a First-Class Product</w:t>
      </w:r>
    </w:p>
    <w:p>
      <w:pPr>
        <w:spacing w:after="80" w:before="60" w:line="284" w:lineRule="auto"/>
        <w:jc w:val="left"/>
      </w:pPr>
      <w:r>
        <w:rPr>
          <w:rFonts w:ascii="Calibri" w:cs="Calibri" w:eastAsia="Calibri" w:hAnsi="Calibri"/>
          <w:color w:val="1A1A2E"/>
          <w:sz w:val="20"/>
          <w:szCs w:val="20"/>
        </w:rPr>
        <w:t xml:space="preserve">The website hiclimax.github.io is currently blank. This is the single highest-visibility gap for any external researcher visiting the project. A world-class documentation site is the front door of the paradigm.</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857C" w:sz="8"/>
              <w:left w:val="thick" w:color="00857C" w:sz="28"/>
              <w:bottom w:val="single" w:color="00857C" w:sz="2"/>
              <w:right w:val="nil"/>
            </w:tcBorders>
            <w:shd w:fill="D0EEEB" w:val="clear"/>
            <w:tcMar>
              <w:top w:type="dxa" w:w="140"/>
              <w:left w:type="dxa" w:w="220"/>
              <w:bottom w:type="dxa" w:w="140"/>
              <w:right w:type="dxa" w:w="220"/>
            </w:tcMar>
          </w:tcPr>
          <w:p>
            <w:pPr>
              <w:spacing w:after="60" w:before="0"/>
            </w:pPr>
            <w:r>
              <w:rPr>
                <w:rFonts w:ascii="Calibri" w:cs="Calibri" w:eastAsia="Calibri" w:hAnsi="Calibri"/>
                <w:b/>
                <w:bCs/>
                <w:color w:val="00857C"/>
                <w:sz w:val="19"/>
                <w:szCs w:val="19"/>
              </w:rPr>
              <w:t xml:space="preserve">Documentation Stack Recommendation</w:t>
            </w:r>
          </w:p>
          <w:p>
            <w:pPr>
              <w:spacing w:after="0" w:before="0"/>
            </w:pPr>
            <w:r>
              <w:rPr>
                <w:rFonts w:ascii="Calibri" w:cs="Calibri" w:eastAsia="Calibri" w:hAnsi="Calibri"/>
                <w:sz w:val="19"/>
                <w:szCs w:val="19"/>
              </w:rPr>
              <w:t xml:space="preserve">Build the site using MkDocs with the Material theme (used by Pangeo, Zarr, xarray — the most respected climate-Python projects). Host on GitHub Pages. Structure: Home (vision, quick demo GIF, install command) → Getting Started (5-minute quickstart for each of the 3 case cities) → Module Reference (one page per downscaling method) → Benchmark Suite (live leaderboard) → Tutorials (Jupyter notebooks via nbsphinx) → Contributing Guide → API Reference (auto-generated from docstrings via mkdocstrings).</w:t>
            </w:r>
          </w:p>
        </w:tc>
      </w:tr>
    </w:tbl>
    <w:p>
      <w:pPr>
        <w:spacing w:after="30" w:before="30"/>
      </w:pPr>
      <w:r>
        <w:t xml:space="preserve"/>
      </w:r>
    </w:p>
    <w:p>
      <w:pPr>
        <w:pStyle w:val="Heading2"/>
        <w:spacing w:after="100" w:before="260"/>
      </w:pPr>
      <w:r>
        <w:rPr>
          <w:rFonts w:ascii="Calibri" w:cs="Calibri" w:eastAsia="Calibri" w:hAnsi="Calibri"/>
          <w:b/>
          <w:bCs/>
          <w:color w:val="0D2B55"/>
          <w:sz w:val="26"/>
          <w:szCs w:val="26"/>
        </w:rPr>
        <w:t xml:space="preserve">4.3  Community Governance Model</w:t>
      </w:r>
    </w:p>
    <w:p>
      <w:pPr>
        <w:spacing w:after="80" w:before="60" w:line="284" w:lineRule="auto"/>
        <w:jc w:val="left"/>
      </w:pPr>
      <w:r>
        <w:rPr>
          <w:rFonts w:ascii="Calibri" w:cs="Calibri" w:eastAsia="Calibri" w:hAnsi="Calibri"/>
          <w:color w:val="1A1A2E"/>
          <w:sz w:val="20"/>
          <w:szCs w:val="20"/>
        </w:rPr>
        <w:t xml:space="preserve">Open scientific software fails when governance is unclear. HiClimaX should adopt a tiered contributor model from the start:</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rPr>
          <w:tblHeader/>
        </w:trPr>
        <w:tc>
          <w:tcPr>
            <w:tcW w:type="dxa" w:w="18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Tier</w:t>
            </w:r>
          </w:p>
        </w:tc>
        <w:tc>
          <w:tcPr>
            <w:tcW w:type="dxa" w:w="28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Who</w:t>
            </w:r>
          </w:p>
        </w:tc>
        <w:tc>
          <w:tcPr>
            <w:tcW w:type="dxa" w:w="4600"/>
            <w:tcBorders>
              <w:top w:val="single" w:color="DDDDDD" w:sz="3"/>
              <w:left w:val="single" w:color="DDDDDD" w:sz="3"/>
              <w:bottom w:val="single" w:color="DDDDDD" w:sz="3"/>
              <w:right w:val="single" w:color="DDDDDD" w:sz="3"/>
            </w:tcBorders>
            <w:shd w:fill="00857C" w:val="clear"/>
            <w:tcMar>
              <w:top w:type="dxa" w:w="80"/>
              <w:left w:type="dxa" w:w="110"/>
              <w:bottom w:type="dxa" w:w="80"/>
              <w:right w:type="dxa" w:w="110"/>
            </w:tcMar>
          </w:tcPr>
          <w:p>
            <w:r>
              <w:rPr>
                <w:rFonts w:ascii="Calibri" w:cs="Calibri" w:eastAsia="Calibri" w:hAnsi="Calibri"/>
                <w:b/>
                <w:bCs/>
                <w:color w:val="FFFFFF"/>
                <w:sz w:val="18"/>
                <w:szCs w:val="18"/>
              </w:rPr>
              <w:t xml:space="preserve">Rights / Responsibilities</w:t>
            </w:r>
          </w:p>
        </w:tc>
      </w:tr>
      <w:tr>
        <w:tc>
          <w:tcPr>
            <w:tcW w:type="dxa" w:w="1800"/>
            <w:tcBorders>
              <w:top w:val="single" w:color="DDDDDD" w:sz="3"/>
              <w:left w:val="single" w:color="DDDDDD" w:sz="3"/>
              <w:bottom w:val="single" w:color="DDDDDD" w:sz="3"/>
              <w:right w:val="single" w:color="DDDDDD" w:sz="3"/>
            </w:tcBorders>
            <w:shd w:fill="D6E8F5" w:val="clear"/>
            <w:tcMar>
              <w:top w:type="dxa" w:w="80"/>
              <w:left w:type="dxa" w:w="110"/>
              <w:bottom w:type="dxa" w:w="80"/>
              <w:right w:type="dxa" w:w="110"/>
            </w:tcMar>
          </w:tcPr>
          <w:p>
            <w:r>
              <w:rPr>
                <w:rFonts w:ascii="Calibri" w:cs="Calibri" w:eastAsia="Calibri" w:hAnsi="Calibri"/>
                <w:b/>
                <w:bCs/>
                <w:color w:val="000000"/>
                <w:sz w:val="18"/>
                <w:szCs w:val="18"/>
              </w:rPr>
              <w:t xml:space="preserve">Core Team</w:t>
            </w:r>
          </w:p>
        </w:tc>
        <w:tc>
          <w:tcPr>
            <w:tcW w:type="dxa" w:w="2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Founding members (current 5-person team)</w:t>
            </w:r>
          </w:p>
        </w:tc>
        <w:tc>
          <w:tcPr>
            <w:tcW w:type="dxa" w:w="4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Merge rights; roadmap decisions; release authority; listed as framework authors</w:t>
            </w:r>
          </w:p>
        </w:tc>
      </w:tr>
      <w:tr>
        <w:tc>
          <w:tcPr>
            <w:tcW w:type="dxa" w:w="1800"/>
            <w:tcBorders>
              <w:top w:val="single" w:color="DDDDDD" w:sz="3"/>
              <w:left w:val="single" w:color="DDDDDD" w:sz="3"/>
              <w:bottom w:val="single" w:color="DDDDDD" w:sz="3"/>
              <w:right w:val="single" w:color="DDDDDD" w:sz="3"/>
            </w:tcBorders>
            <w:shd w:fill="D0EEEB" w:val="clear"/>
            <w:tcMar>
              <w:top w:type="dxa" w:w="80"/>
              <w:left w:type="dxa" w:w="110"/>
              <w:bottom w:type="dxa" w:w="80"/>
              <w:right w:type="dxa" w:w="110"/>
            </w:tcMar>
          </w:tcPr>
          <w:p>
            <w:r>
              <w:rPr>
                <w:rFonts w:ascii="Calibri" w:cs="Calibri" w:eastAsia="Calibri" w:hAnsi="Calibri"/>
                <w:b/>
                <w:bCs/>
                <w:color w:val="000000"/>
                <w:sz w:val="18"/>
                <w:szCs w:val="18"/>
              </w:rPr>
              <w:t xml:space="preserve">Module Maintainers</w:t>
            </w:r>
          </w:p>
        </w:tc>
        <w:tc>
          <w:tcPr>
            <w:tcW w:type="dxa" w:w="2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Researchers who own individual method modules</w:t>
            </w:r>
          </w:p>
        </w:tc>
        <w:tc>
          <w:tcPr>
            <w:tcW w:type="dxa" w:w="4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Commit rights to their module; responsible for benchmark passing; co-authorship on HiClimaX papers</w:t>
            </w:r>
          </w:p>
        </w:tc>
      </w:tr>
      <w:tr>
        <w:tc>
          <w:tcPr>
            <w:tcW w:type="dxa" w:w="1800"/>
            <w:tcBorders>
              <w:top w:val="single" w:color="DDDDDD" w:sz="3"/>
              <w:left w:val="single" w:color="DDDDDD" w:sz="3"/>
              <w:bottom w:val="single" w:color="DDDDDD" w:sz="3"/>
              <w:right w:val="single" w:color="DDDDDD" w:sz="3"/>
            </w:tcBorders>
            <w:shd w:fill="E8F5E9" w:val="clear"/>
            <w:tcMar>
              <w:top w:type="dxa" w:w="80"/>
              <w:left w:type="dxa" w:w="110"/>
              <w:bottom w:type="dxa" w:w="80"/>
              <w:right w:type="dxa" w:w="110"/>
            </w:tcMar>
          </w:tcPr>
          <w:p>
            <w:r>
              <w:rPr>
                <w:rFonts w:ascii="Calibri" w:cs="Calibri" w:eastAsia="Calibri" w:hAnsi="Calibri"/>
                <w:b/>
                <w:bCs/>
                <w:color w:val="000000"/>
                <w:sz w:val="18"/>
                <w:szCs w:val="18"/>
              </w:rPr>
              <w:t xml:space="preserve">Contributors</w:t>
            </w:r>
          </w:p>
        </w:tc>
        <w:tc>
          <w:tcPr>
            <w:tcW w:type="dxa" w:w="2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Anyone who submits a merged PR</w:t>
            </w:r>
          </w:p>
        </w:tc>
        <w:tc>
          <w:tcPr>
            <w:tcW w:type="dxa" w:w="4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Named in CONTRIBUTORS.md; Discord role; access to community calls</w:t>
            </w:r>
          </w:p>
        </w:tc>
      </w:tr>
      <w:tr>
        <w:tc>
          <w:tcPr>
            <w:tcW w:type="dxa" w:w="1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000000"/>
                <w:sz w:val="18"/>
                <w:szCs w:val="18"/>
              </w:rPr>
              <w:t xml:space="preserve">Users</w:t>
            </w:r>
          </w:p>
        </w:tc>
        <w:tc>
          <w:tcPr>
            <w:tcW w:type="dxa" w:w="2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Researchers, planners, practitioners who use HiClimaX</w:t>
            </w:r>
          </w:p>
        </w:tc>
        <w:tc>
          <w:tcPr>
            <w:tcW w:type="dxa" w:w="4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File issues; request features; access to documentation and examples; free tier API</w:t>
            </w:r>
          </w:p>
        </w:tc>
      </w:tr>
    </w:tbl>
    <w:p>
      <w:pPr>
        <w:spacing w:after="30" w:before="30"/>
      </w:pPr>
      <w:r>
        <w:t xml:space="preserve"/>
      </w:r>
    </w:p>
    <w:p>
      <w:pPr>
        <w:spacing w:after="80" w:before="60" w:line="284" w:lineRule="auto"/>
        <w:jc w:val="left"/>
      </w:pPr>
      <w:r>
        <w:rPr>
          <w:rFonts w:ascii="Calibri" w:cs="Calibri" w:eastAsia="Calibri" w:hAnsi="Calibri"/>
          <w:color w:val="1A1A2E"/>
          <w:sz w:val="20"/>
          <w:szCs w:val="20"/>
        </w:rPr>
        <w:t xml:space="preserve">Additionally, establish the following community infrastructure within 60 days of launch:</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GitHub Discussions enabled on the main organisation (not just Issues)</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A Discord server or Slack workspace for real-time community interaction</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Monthly community calls (30 min, recorded, posted to YouTube) — this is how Pangeo and PyMC grew their communities</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A GOVERNANCE.md file in hiclimax-core defining decision-making processes</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A CODE_OF_CONDUCT.md based on the Contributor Covenant</w:t>
      </w:r>
    </w:p>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5B2C6F"/>
          <w:sz w:val="32"/>
          <w:szCs w:val="32"/>
        </w:rPr>
        <w:t xml:space="preserve">5. Pillar III — WMO and IPCC Alignment Pathway</w:t>
      </w:r>
    </w:p>
    <w:p>
      <w:pPr>
        <w:spacing w:after="80" w:before="60" w:line="284" w:lineRule="auto"/>
        <w:jc w:val="left"/>
      </w:pPr>
      <w:r>
        <w:rPr>
          <w:rFonts w:ascii="Calibri" w:cs="Calibri" w:eastAsia="Calibri" w:hAnsi="Calibri"/>
          <w:color w:val="1A1A2E"/>
          <w:sz w:val="20"/>
          <w:szCs w:val="20"/>
        </w:rPr>
        <w:t xml:space="preserve">WMO and IPCC are not monolithic — they are networks of programmes, working groups, and task teams, each with specific entry points. The pathway to institutional recognition is through targeted engagement with the right programmes at the right time.</w:t>
      </w:r>
    </w:p>
    <w:p>
      <w:pPr>
        <w:spacing w:after="30" w:before="30"/>
      </w:pPr>
      <w:r>
        <w:t xml:space="preserve"/>
      </w:r>
    </w:p>
    <w:p>
      <w:pPr>
        <w:pStyle w:val="Heading2"/>
        <w:spacing w:after="100" w:before="260"/>
      </w:pPr>
      <w:r>
        <w:rPr>
          <w:rFonts w:ascii="Calibri" w:cs="Calibri" w:eastAsia="Calibri" w:hAnsi="Calibri"/>
          <w:b/>
          <w:bCs/>
          <w:color w:val="0D2B55"/>
          <w:sz w:val="26"/>
          <w:szCs w:val="26"/>
        </w:rPr>
        <w:t xml:space="preserve">5.1  WMO Entry Points</w:t>
      </w:r>
    </w:p>
    <w:p>
      <w:pPr>
        <w:spacing w:after="10" w:before="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tcBorders>
              <w:top w:val="single" w:color="DDDDDD" w:sz="3"/>
              <w:left w:val="single" w:color="DDDDDD" w:sz="3"/>
              <w:bottom w:val="single" w:color="DDDDDD" w:sz="3"/>
              <w:right w:val="single" w:color="DDDDDD" w:sz="3"/>
            </w:tcBorders>
            <w:shd w:fill="5B2C6F" w:val="clear"/>
            <w:tcMar>
              <w:top w:type="dxa" w:w="80"/>
              <w:left w:type="dxa" w:w="110"/>
              <w:bottom w:type="dxa" w:w="80"/>
              <w:right w:type="dxa" w:w="110"/>
            </w:tcMar>
          </w:tcPr>
          <w:p>
            <w:r>
              <w:rPr>
                <w:rFonts w:ascii="Calibri" w:cs="Calibri" w:eastAsia="Calibri" w:hAnsi="Calibri"/>
                <w:b/>
                <w:bCs/>
                <w:color w:val="FFFFFF"/>
                <w:sz w:val="18"/>
                <w:szCs w:val="18"/>
              </w:rPr>
              <w:t xml:space="preserve">WMO Programme</w:t>
            </w:r>
          </w:p>
        </w:tc>
        <w:tc>
          <w:tcPr>
            <w:tcW w:type="dxa" w:w="3200"/>
            <w:tcBorders>
              <w:top w:val="single" w:color="DDDDDD" w:sz="3"/>
              <w:left w:val="single" w:color="DDDDDD" w:sz="3"/>
              <w:bottom w:val="single" w:color="DDDDDD" w:sz="3"/>
              <w:right w:val="single" w:color="DDDDDD" w:sz="3"/>
            </w:tcBorders>
            <w:shd w:fill="5B2C6F" w:val="clear"/>
            <w:tcMar>
              <w:top w:type="dxa" w:w="80"/>
              <w:left w:type="dxa" w:w="110"/>
              <w:bottom w:type="dxa" w:w="80"/>
              <w:right w:type="dxa" w:w="110"/>
            </w:tcMar>
          </w:tcPr>
          <w:p>
            <w:r>
              <w:rPr>
                <w:rFonts w:ascii="Calibri" w:cs="Calibri" w:eastAsia="Calibri" w:hAnsi="Calibri"/>
                <w:b/>
                <w:bCs/>
                <w:color w:val="FFFFFF"/>
                <w:sz w:val="18"/>
                <w:szCs w:val="18"/>
              </w:rPr>
              <w:t xml:space="preserve">Relevance to HiClimaX</w:t>
            </w:r>
          </w:p>
        </w:tc>
        <w:tc>
          <w:tcPr>
            <w:tcW w:type="dxa" w:w="3400"/>
            <w:tcBorders>
              <w:top w:val="single" w:color="DDDDDD" w:sz="3"/>
              <w:left w:val="single" w:color="DDDDDD" w:sz="3"/>
              <w:bottom w:val="single" w:color="DDDDDD" w:sz="3"/>
              <w:right w:val="single" w:color="DDDDDD" w:sz="3"/>
            </w:tcBorders>
            <w:shd w:fill="5B2C6F" w:val="clear"/>
            <w:tcMar>
              <w:top w:type="dxa" w:w="80"/>
              <w:left w:type="dxa" w:w="110"/>
              <w:bottom w:type="dxa" w:w="80"/>
              <w:right w:type="dxa" w:w="110"/>
            </w:tcMar>
          </w:tcPr>
          <w:p>
            <w:r>
              <w:rPr>
                <w:rFonts w:ascii="Calibri" w:cs="Calibri" w:eastAsia="Calibri" w:hAnsi="Calibri"/>
                <w:b/>
                <w:bCs/>
                <w:color w:val="FFFFFF"/>
                <w:sz w:val="18"/>
                <w:szCs w:val="18"/>
              </w:rPr>
              <w:t xml:space="preserve">Entry Action</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Global Framework for Climate Services (GFCS)</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GFCS explicitly calls for 'city-scale climate information' as a priority for adaptation. HiClimaX outputs are directly relevant to GFCS Pillar 1 (climate services) and Pillar 4 (user interface).</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Submit HiClimaX as a GFCS Partner Framework via the WMO Climate Services Toolkit portal after GMD publication. A co-authored white paper with a National Meteorological Service (NMS) as case study partner is the most effective entry path.</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WCRP/CORDEX</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CORDEX is the scientific backbone; CORDEX-Urban is the most directly relevant sub-initiative. WRF and RegCM modules already overlap with CORDEX regional experiments.</w:t>
            </w:r>
          </w:p>
        </w:tc>
        <w:tc>
          <w:tcPr>
            <w:tcW w:type="dxa" w:w="3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Initiate contact with CORDEX-Urban co-chairs (Dr. Hamdi, RMI Belgium — already cited in the manuscript — is a natural bridge contact). Propose HiClimaX as the CORDEX-Urban benchmark platform at the next WCRP Open Science Conference.</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Urban Climate Change Science Programme (UCCS)</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UCCS (WMO + UN-Habitat) specifically targets high-resolution urban climate information for city governments. HiClimaX is a direct technical match.</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Reach out to WMO's Climate and Urban Services team. Offer HiClimaX as a reference implementation for 3–5 pilot cities in developing countries (Nairobi, Dhaka, Lagos) — this aligns with UCCS mandates and opens UNDP/World Bank funding.</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WMO Integrated Global Observing System (WIGOS)</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WIGOS standards for observational data are prerequisites for reliable downscaling evaluation. Alignment with WIGOS station metadata standards makes HiClimaX outputs interoperable with NMS data.</w:t>
            </w:r>
          </w:p>
        </w:tc>
        <w:tc>
          <w:tcPr>
            <w:tcW w:type="dxa" w:w="3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Add WIGOS station identifier support to the hiclimax-eval package. Document compliance in the GMD paper.</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Expert Team on Climate Risk and Sector-specific Climate Services</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This WMO expert team advises on climate information for health, energy, water. HiClimaX ensemble outputs (temperature extremes, precipitation) are directly applicable.</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Submit a Technical Note to the WMO journal Climate Services (Elsevier) presenting HiClimaX as a methodology for sectoral climate services. This is lower-barrier than IPCC but builds formal WMO recognition.</w:t>
            </w:r>
          </w:p>
        </w:tc>
      </w:tr>
    </w:tbl>
    <w:p>
      <w:pPr>
        <w:spacing w:after="40" w:before="40"/>
      </w:pPr>
      <w:r>
        <w:t xml:space="preserve"/>
      </w:r>
    </w:p>
    <w:p>
      <w:pPr>
        <w:pStyle w:val="Heading2"/>
        <w:spacing w:after="100" w:before="260"/>
      </w:pPr>
      <w:r>
        <w:rPr>
          <w:rFonts w:ascii="Calibri" w:cs="Calibri" w:eastAsia="Calibri" w:hAnsi="Calibri"/>
          <w:b/>
          <w:bCs/>
          <w:color w:val="0D2B55"/>
          <w:sz w:val="26"/>
          <w:szCs w:val="26"/>
        </w:rPr>
        <w:t xml:space="preserve">5.2  IPCC Integration Pathway</w:t>
      </w:r>
    </w:p>
    <w:p>
      <w:pPr>
        <w:spacing w:after="80" w:before="60" w:line="284" w:lineRule="auto"/>
        <w:jc w:val="left"/>
      </w:pPr>
      <w:r>
        <w:rPr>
          <w:rFonts w:ascii="Calibri" w:cs="Calibri" w:eastAsia="Calibri" w:hAnsi="Calibri"/>
          <w:color w:val="1A1A2E"/>
          <w:sz w:val="20"/>
          <w:szCs w:val="20"/>
        </w:rPr>
        <w:t xml:space="preserve">Direct IPCC authorship is an appointment process, not an application. However, being cited by IPCC and contributing to its underlying scientific knowledge base is the realistic and valuable target. The AR7 (Sixth Assessment Report cycle) process is now underway.</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600"/>
      </w:tblGrid>
      <w:tr>
        <w:trPr>
          <w:tblHeader/>
        </w:trPr>
        <w:tc>
          <w:tcPr>
            <w:tcW w:type="dxa" w:w="2600"/>
            <w:tcBorders>
              <w:top w:val="single" w:color="DDDDDD" w:sz="3"/>
              <w:left w:val="single" w:color="DDDDDD" w:sz="3"/>
              <w:bottom w:val="single" w:color="DDDDDD" w:sz="3"/>
              <w:right w:val="single" w:color="DDDDDD" w:sz="3"/>
            </w:tcBorders>
            <w:shd w:fill="5B2C6F" w:val="clear"/>
            <w:tcMar>
              <w:top w:type="dxa" w:w="80"/>
              <w:left w:type="dxa" w:w="110"/>
              <w:bottom w:type="dxa" w:w="80"/>
              <w:right w:type="dxa" w:w="110"/>
            </w:tcMar>
          </w:tcPr>
          <w:p>
            <w:r>
              <w:rPr>
                <w:rFonts w:ascii="Calibri" w:cs="Calibri" w:eastAsia="Calibri" w:hAnsi="Calibri"/>
                <w:b/>
                <w:bCs/>
                <w:color w:val="FFFFFF"/>
                <w:sz w:val="18"/>
                <w:szCs w:val="18"/>
              </w:rPr>
              <w:t xml:space="preserve">IPCC Mechanism</w:t>
            </w:r>
          </w:p>
        </w:tc>
        <w:tc>
          <w:tcPr>
            <w:tcW w:type="dxa" w:w="4000"/>
            <w:tcBorders>
              <w:top w:val="single" w:color="DDDDDD" w:sz="3"/>
              <w:left w:val="single" w:color="DDDDDD" w:sz="3"/>
              <w:bottom w:val="single" w:color="DDDDDD" w:sz="3"/>
              <w:right w:val="single" w:color="DDDDDD" w:sz="3"/>
            </w:tcBorders>
            <w:shd w:fill="5B2C6F" w:val="clear"/>
            <w:tcMar>
              <w:top w:type="dxa" w:w="80"/>
              <w:left w:type="dxa" w:w="110"/>
              <w:bottom w:type="dxa" w:w="80"/>
              <w:right w:type="dxa" w:w="110"/>
            </w:tcMar>
          </w:tcPr>
          <w:p>
            <w:r>
              <w:rPr>
                <w:rFonts w:ascii="Calibri" w:cs="Calibri" w:eastAsia="Calibri" w:hAnsi="Calibri"/>
                <w:b/>
                <w:bCs/>
                <w:color w:val="FFFFFF"/>
                <w:sz w:val="18"/>
                <w:szCs w:val="18"/>
              </w:rPr>
              <w:t xml:space="preserve">Action</w:t>
            </w:r>
          </w:p>
        </w:tc>
        <w:tc>
          <w:tcPr>
            <w:tcW w:type="dxa" w:w="2600"/>
            <w:tcBorders>
              <w:top w:val="single" w:color="DDDDDD" w:sz="3"/>
              <w:left w:val="single" w:color="DDDDDD" w:sz="3"/>
              <w:bottom w:val="single" w:color="DDDDDD" w:sz="3"/>
              <w:right w:val="single" w:color="DDDDDD" w:sz="3"/>
            </w:tcBorders>
            <w:shd w:fill="5B2C6F" w:val="clear"/>
            <w:tcMar>
              <w:top w:type="dxa" w:w="80"/>
              <w:left w:type="dxa" w:w="110"/>
              <w:bottom w:type="dxa" w:w="80"/>
              <w:right w:type="dxa" w:w="110"/>
            </w:tcMar>
          </w:tcPr>
          <w:p>
            <w:r>
              <w:rPr>
                <w:rFonts w:ascii="Calibri" w:cs="Calibri" w:eastAsia="Calibri" w:hAnsi="Calibri"/>
                <w:b/>
                <w:bCs/>
                <w:color w:val="FFFFFF"/>
                <w:sz w:val="18"/>
                <w:szCs w:val="18"/>
              </w:rPr>
              <w:t xml:space="preserve">Timeline</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AR7 WG II (Impacts, Adaptation) — Chapter on Cities</w:t>
            </w:r>
          </w:p>
        </w:tc>
        <w:tc>
          <w:tcPr>
            <w:tcW w:type="dxa" w:w="4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The Cities chapter in AR7 WGII will assess urban climate projections. A published GMD paper + benchmark results from 3 case study cities = citable evidence. Prioritise completing the manuscript.</w:t>
            </w:r>
          </w:p>
        </w:tc>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GMD submission by end 2026; AR7 literature cut-off ~2027</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AR7 WGI — Chapter on Regional Climate</w:t>
            </w:r>
          </w:p>
        </w:tc>
        <w:tc>
          <w:tcPr>
            <w:tcW w:type="dxa" w:w="4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This chapter directly reviews downscaling methods. A paper in GMD that introduces a new multi-method framework will be considered for citation if published with sufficient lead time.</w:t>
            </w:r>
          </w:p>
        </w:tc>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Same as above</w:t>
            </w:r>
          </w:p>
        </w:tc>
      </w:tr>
      <w:tr>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IPCC Expert Meeting on Urban Climate</w:t>
            </w:r>
          </w:p>
        </w:tc>
        <w:tc>
          <w:tcPr>
            <w:tcW w:type="dxa" w:w="4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IPCC occasionally convenes expert meetings between AR cycles. Propose a contribution to any such meeting through your national IPCC focal point (Japan's MoE/JMA liaison).</w:t>
            </w:r>
          </w:p>
        </w:tc>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Monitor IPCC.ch calls for nominations</w:t>
            </w:r>
          </w:p>
        </w:tc>
      </w:tr>
      <w:tr>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IPCC Data Distribution Centre (DDC)</w:t>
            </w:r>
          </w:p>
        </w:tc>
        <w:tc>
          <w:tcPr>
            <w:tcW w:type="dxa" w:w="4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The DDC archives climate data used in IPCC assessments. Contributing HiClimaX outputs for selected cities to the DDC would give institutional recognition at the data layer.</w:t>
            </w:r>
          </w:p>
        </w:tc>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Post-GMD publication; requires data quality screening by DDC</w:t>
            </w:r>
          </w:p>
        </w:tc>
      </w:tr>
    </w:tbl>
    <w:p>
      <w:pPr>
        <w:spacing w:after="40" w:before="40"/>
      </w:pPr>
      <w:r>
        <w:t xml:space="preserve"/>
      </w:r>
    </w:p>
    <w:p>
      <w:pPr>
        <w:pStyle w:val="Heading2"/>
        <w:spacing w:after="100" w:before="260"/>
      </w:pPr>
      <w:r>
        <w:rPr>
          <w:rFonts w:ascii="Calibri" w:cs="Calibri" w:eastAsia="Calibri" w:hAnsi="Calibri"/>
          <w:b/>
          <w:bCs/>
          <w:color w:val="0D2B55"/>
          <w:sz w:val="26"/>
          <w:szCs w:val="26"/>
        </w:rPr>
        <w:t xml:space="preserve">5.3  Strategic Partnership Targets</w:t>
      </w:r>
    </w:p>
    <w:p>
      <w:pPr>
        <w:spacing w:after="80" w:before="60" w:line="284" w:lineRule="auto"/>
        <w:jc w:val="left"/>
      </w:pPr>
      <w:r>
        <w:rPr>
          <w:rFonts w:ascii="Calibri" w:cs="Calibri" w:eastAsia="Calibri" w:hAnsi="Calibri"/>
          <w:color w:val="1A1A2E"/>
          <w:sz w:val="20"/>
          <w:szCs w:val="20"/>
        </w:rPr>
        <w:t xml:space="preserve">Institutional endorsement is amplified by partnerships with national meteorological services and leading research institutions. The following are the highest-value partners given HiClimaX's existing case studies and team location:</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Japan Meteorological Agency (JMA) — Tokyo case study; potential co-PI on a JST/MEXT grant; JMA is Japan's WMO focal point</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Royal Meteorological Institute of Belgium (RMI, Dr. Hamdi) — Brussels case study; already cited; direct connection to CORDEX-Urban</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Vietnam Institute of Meteorology, Hydrology and Climate Change (IMHEN) — Ho Chi Minh City case study; access to Vietnamese government funding and ASEAN climate networks</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NCAR (National Center for Atmospheric Research) — WRF and HRLDAS home institutions; WRF-UCM team overlap; potential for official endorsement or joint release</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ECMWF — ERA5 is the primary forcing; an ECMWF Fellowship or collaboration would dramatically increase visibility</w:t>
      </w:r>
    </w:p>
    <w:p>
      <w:pPr>
        <w:pStyle w:val="ListParagraph"/>
        <w:numPr>
          <w:ilvl w:val="0"/>
          <w:numId w:val="2"/>
        </w:numPr>
        <w:spacing w:after="50" w:before="50"/>
      </w:pPr>
      <w:r>
        <w:rPr>
          <w:rFonts w:ascii="Calibri" w:cs="Calibri" w:eastAsia="Calibri" w:hAnsi="Calibri"/>
          <w:b w:val="false"/>
          <w:bCs w:val="false"/>
          <w:color w:val="1A1A2E"/>
          <w:sz w:val="20"/>
          <w:szCs w:val="20"/>
        </w:rPr>
        <w:t xml:space="preserve">C40 Cities Climate Leadership Group — direct access to 100 megacities that are the natural users of HiClimaX outputs; a co-produced case study with a C40 city is enormously valuable for credibility and future funding</w:t>
      </w:r>
    </w:p>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C6900A"/>
          <w:sz w:val="32"/>
          <w:szCs w:val="32"/>
        </w:rPr>
        <w:t xml:space="preserve">6. Business Ecosystem Architecture</w:t>
      </w:r>
    </w:p>
    <w:p>
      <w:pPr>
        <w:spacing w:after="80" w:before="60" w:line="284" w:lineRule="auto"/>
        <w:jc w:val="left"/>
      </w:pPr>
      <w:r>
        <w:rPr>
          <w:rFonts w:ascii="Calibri" w:cs="Calibri" w:eastAsia="Calibri" w:hAnsi="Calibri"/>
          <w:color w:val="1A1A2E"/>
          <w:sz w:val="20"/>
          <w:szCs w:val="20"/>
        </w:rPr>
        <w:t xml:space="preserve">A sustainable paradigm must be financially self-reinforcing. Pure academic open-source projects eventually stagnate unless they attract funding beyond grants. HiClimaX's business model should follow the proven open-core architecture used by successful scientific software companies.</w:t>
      </w:r>
    </w:p>
    <w:p>
      <w:pPr>
        <w:spacing w:after="30" w:before="30"/>
      </w:pPr>
      <w:r>
        <w:t xml:space="preserve"/>
      </w:r>
    </w:p>
    <w:p>
      <w:pPr>
        <w:pStyle w:val="Heading2"/>
        <w:spacing w:after="100" w:before="260"/>
      </w:pPr>
      <w:r>
        <w:rPr>
          <w:rFonts w:ascii="Calibri" w:cs="Calibri" w:eastAsia="Calibri" w:hAnsi="Calibri"/>
          <w:b/>
          <w:bCs/>
          <w:color w:val="0D2B55"/>
          <w:sz w:val="26"/>
          <w:szCs w:val="26"/>
        </w:rPr>
        <w:t xml:space="preserve">6.1  The Open-Core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900A" w:sz="8"/>
              <w:left w:val="thick" w:color="C6900A" w:sz="28"/>
              <w:bottom w:val="single" w:color="C6900A" w:sz="2"/>
              <w:right w:val="nil"/>
            </w:tcBorders>
            <w:shd w:fill="FDF3D0" w:val="clear"/>
            <w:tcMar>
              <w:top w:type="dxa" w:w="140"/>
              <w:left w:type="dxa" w:w="220"/>
              <w:bottom w:type="dxa" w:w="140"/>
              <w:right w:type="dxa" w:w="220"/>
            </w:tcMar>
          </w:tcPr>
          <w:p>
            <w:pPr>
              <w:spacing w:after="60" w:before="0"/>
            </w:pPr>
            <w:r>
              <w:rPr>
                <w:rFonts w:ascii="Calibri" w:cs="Calibri" w:eastAsia="Calibri" w:hAnsi="Calibri"/>
                <w:b/>
                <w:bCs/>
                <w:color w:val="C6900A"/>
                <w:sz w:val="19"/>
                <w:szCs w:val="19"/>
              </w:rPr>
              <w:t xml:space="preserve">Principle: Open Core + Paid Value-Add</w:t>
            </w:r>
          </w:p>
          <w:p>
            <w:pPr>
              <w:spacing w:after="0" w:before="0"/>
            </w:pPr>
            <w:r>
              <w:rPr>
                <w:rFonts w:ascii="Calibri" w:cs="Calibri" w:eastAsia="Calibri" w:hAnsi="Calibri"/>
                <w:sz w:val="19"/>
                <w:szCs w:val="19"/>
              </w:rPr>
              <w:t xml:space="preserve">The core science (all six downscaling modules, the benchmark suite, the data interface) remains permanently free and open-source under MIT/Apache 2 licence. Commercial value is created at the application layer: hosted computation, managed data services, customised city deployments, certified reports, and training. This model is used by Plotly (Dash open / Dash Enterprise), Weights &amp; Biases (free research / paid teams), and Dask (free / Coiled cloud managed Dask). It allows academic use to remain unrestricted while building a revenue base.</w:t>
            </w:r>
          </w:p>
        </w:tc>
      </w:tr>
    </w:tbl>
    <w:p>
      <w:pPr>
        <w:spacing w:after="30" w:before="30"/>
      </w:pPr>
      <w:r>
        <w:t xml:space="preserve"/>
      </w:r>
    </w:p>
    <w:p>
      <w:pPr>
        <w:pStyle w:val="Heading2"/>
        <w:spacing w:after="100" w:before="260"/>
      </w:pPr>
      <w:r>
        <w:rPr>
          <w:rFonts w:ascii="Calibri" w:cs="Calibri" w:eastAsia="Calibri" w:hAnsi="Calibri"/>
          <w:b/>
          <w:bCs/>
          <w:color w:val="0D2B55"/>
          <w:sz w:val="26"/>
          <w:szCs w:val="26"/>
        </w:rPr>
        <w:t xml:space="preserve">6.2  Product &amp; Service Tiers</w:t>
      </w:r>
    </w:p>
    <w:p>
      <w:pPr>
        <w:spacing w:after="10" w:before="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00"/>
        <w:gridCol w:w="2500"/>
      </w:tblGrid>
      <w:tr>
        <w:trPr>
          <w:tblHeader/>
        </w:trPr>
        <w:tc>
          <w:tcPr>
            <w:tcW w:type="dxa" w:w="1400"/>
            <w:tcBorders>
              <w:top w:val="single" w:color="DDDDDD" w:sz="3"/>
              <w:left w:val="single" w:color="DDDDDD" w:sz="3"/>
              <w:bottom w:val="single" w:color="DDDDDD" w:sz="3"/>
              <w:right w:val="single" w:color="DDDDDD" w:sz="3"/>
            </w:tcBorders>
            <w:shd w:fill="C6900A" w:val="clear"/>
            <w:tcMar>
              <w:top w:type="dxa" w:w="80"/>
              <w:left w:type="dxa" w:w="110"/>
              <w:bottom w:type="dxa" w:w="80"/>
              <w:right w:type="dxa" w:w="110"/>
            </w:tcMar>
          </w:tcPr>
          <w:p>
            <w:r>
              <w:rPr>
                <w:rFonts w:ascii="Calibri" w:cs="Calibri" w:eastAsia="Calibri" w:hAnsi="Calibri"/>
                <w:b/>
                <w:bCs/>
                <w:color w:val="FFFFFF"/>
                <w:sz w:val="18"/>
                <w:szCs w:val="18"/>
              </w:rPr>
              <w:t xml:space="preserve">Tier</w:t>
            </w:r>
          </w:p>
        </w:tc>
        <w:tc>
          <w:tcPr>
            <w:tcW w:type="dxa" w:w="2800"/>
            <w:tcBorders>
              <w:top w:val="single" w:color="DDDDDD" w:sz="3"/>
              <w:left w:val="single" w:color="DDDDDD" w:sz="3"/>
              <w:bottom w:val="single" w:color="DDDDDD" w:sz="3"/>
              <w:right w:val="single" w:color="DDDDDD" w:sz="3"/>
            </w:tcBorders>
            <w:shd w:fill="C6900A" w:val="clear"/>
            <w:tcMar>
              <w:top w:type="dxa" w:w="80"/>
              <w:left w:type="dxa" w:w="110"/>
              <w:bottom w:type="dxa" w:w="80"/>
              <w:right w:type="dxa" w:w="110"/>
            </w:tcMar>
          </w:tcPr>
          <w:p>
            <w:r>
              <w:rPr>
                <w:rFonts w:ascii="Calibri" w:cs="Calibri" w:eastAsia="Calibri" w:hAnsi="Calibri"/>
                <w:b/>
                <w:bCs/>
                <w:color w:val="FFFFFF"/>
                <w:sz w:val="18"/>
                <w:szCs w:val="18"/>
              </w:rPr>
              <w:t xml:space="preserve">Product / Service</w:t>
            </w:r>
          </w:p>
        </w:tc>
        <w:tc>
          <w:tcPr>
            <w:tcW w:type="dxa" w:w="2500"/>
            <w:tcBorders>
              <w:top w:val="single" w:color="DDDDDD" w:sz="3"/>
              <w:left w:val="single" w:color="DDDDDD" w:sz="3"/>
              <w:bottom w:val="single" w:color="DDDDDD" w:sz="3"/>
              <w:right w:val="single" w:color="DDDDDD" w:sz="3"/>
            </w:tcBorders>
            <w:shd w:fill="C6900A" w:val="clear"/>
            <w:tcMar>
              <w:top w:type="dxa" w:w="80"/>
              <w:left w:type="dxa" w:w="110"/>
              <w:bottom w:type="dxa" w:w="80"/>
              <w:right w:type="dxa" w:w="110"/>
            </w:tcMar>
          </w:tcPr>
          <w:p>
            <w:r>
              <w:rPr>
                <w:rFonts w:ascii="Calibri" w:cs="Calibri" w:eastAsia="Calibri" w:hAnsi="Calibri"/>
                <w:b/>
                <w:bCs/>
                <w:color w:val="FFFFFF"/>
                <w:sz w:val="18"/>
                <w:szCs w:val="18"/>
              </w:rPr>
              <w:t xml:space="preserve">Target Customer</w:t>
            </w:r>
          </w:p>
        </w:tc>
        <w:tc>
          <w:tcPr>
            <w:tcW w:type="dxa" w:w="2500"/>
            <w:tcBorders>
              <w:top w:val="single" w:color="DDDDDD" w:sz="3"/>
              <w:left w:val="single" w:color="DDDDDD" w:sz="3"/>
              <w:bottom w:val="single" w:color="DDDDDD" w:sz="3"/>
              <w:right w:val="single" w:color="DDDDDD" w:sz="3"/>
            </w:tcBorders>
            <w:shd w:fill="C6900A" w:val="clear"/>
            <w:tcMar>
              <w:top w:type="dxa" w:w="80"/>
              <w:left w:type="dxa" w:w="110"/>
              <w:bottom w:type="dxa" w:w="80"/>
              <w:right w:type="dxa" w:w="110"/>
            </w:tcMar>
          </w:tcPr>
          <w:p>
            <w:r>
              <w:rPr>
                <w:rFonts w:ascii="Calibri" w:cs="Calibri" w:eastAsia="Calibri" w:hAnsi="Calibri"/>
                <w:b/>
                <w:bCs/>
                <w:color w:val="FFFFFF"/>
                <w:sz w:val="18"/>
                <w:szCs w:val="18"/>
              </w:rPr>
              <w:t xml:space="preserve">Revenue Model</w:t>
            </w:r>
          </w:p>
        </w:tc>
      </w:tr>
      <w:tr>
        <w:tc>
          <w:tcPr>
            <w:tcW w:type="dxa" w:w="1400"/>
            <w:tcBorders>
              <w:top w:val="single" w:color="DDDDDD" w:sz="3"/>
              <w:left w:val="single" w:color="DDDDDD" w:sz="3"/>
              <w:bottom w:val="single" w:color="DDDDDD" w:sz="3"/>
              <w:right w:val="single" w:color="DDDDDD" w:sz="3"/>
            </w:tcBorders>
            <w:shd w:fill="E8F5E9" w:val="clear"/>
            <w:tcMar>
              <w:top w:type="dxa" w:w="80"/>
              <w:left w:type="dxa" w:w="110"/>
              <w:bottom w:type="dxa" w:w="80"/>
              <w:right w:type="dxa" w:w="110"/>
            </w:tcMar>
          </w:tcPr>
          <w:p>
            <w:r>
              <w:rPr>
                <w:rFonts w:ascii="Calibri" w:cs="Calibri" w:eastAsia="Calibri" w:hAnsi="Calibri"/>
                <w:b/>
                <w:bCs/>
                <w:color w:val="000000"/>
                <w:sz w:val="18"/>
                <w:szCs w:val="18"/>
              </w:rPr>
              <w:t xml:space="preserve">FREE</w:t>
            </w:r>
          </w:p>
        </w:tc>
        <w:tc>
          <w:tcPr>
            <w:tcW w:type="dxa" w:w="2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Open-source framework, benchmark suite, documentation, Jupyter notebooks, community forum</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Academic researchers, students, NMS scientists</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None — builds community, citations, talent pipeline</w:t>
            </w:r>
          </w:p>
        </w:tc>
      </w:tr>
      <w:tr>
        <w:tc>
          <w:tcPr>
            <w:tcW w:type="dxa" w:w="1400"/>
            <w:tcBorders>
              <w:top w:val="single" w:color="DDDDDD" w:sz="3"/>
              <w:left w:val="single" w:color="DDDDDD" w:sz="3"/>
              <w:bottom w:val="single" w:color="DDDDDD" w:sz="3"/>
              <w:right w:val="single" w:color="DDDDDD" w:sz="3"/>
            </w:tcBorders>
            <w:shd w:fill="D6E8F5" w:val="clear"/>
            <w:tcMar>
              <w:top w:type="dxa" w:w="80"/>
              <w:left w:type="dxa" w:w="110"/>
              <w:bottom w:type="dxa" w:w="80"/>
              <w:right w:type="dxa" w:w="110"/>
            </w:tcMar>
          </w:tcPr>
          <w:p>
            <w:r>
              <w:rPr>
                <w:rFonts w:ascii="Calibri" w:cs="Calibri" w:eastAsia="Calibri" w:hAnsi="Calibri"/>
                <w:b/>
                <w:bCs/>
                <w:color w:val="000000"/>
                <w:sz w:val="18"/>
                <w:szCs w:val="18"/>
              </w:rPr>
              <w:t xml:space="preserve">FREEMIUM API</w:t>
            </w:r>
          </w:p>
        </w:tc>
        <w:tc>
          <w:tcPr>
            <w:tcW w:type="dxa" w:w="2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HiClimaX-as-a-Service: web API returning ensemble climate projections for any city within pre-computed domains; 100 queries/month free</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NGOs, small municipalities, journalists, ESG analysts</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Freemium: free up to limit; USD 99/month for standard access</w:t>
            </w:r>
          </w:p>
        </w:tc>
      </w:tr>
      <w:tr>
        <w:tc>
          <w:tcPr>
            <w:tcW w:type="dxa" w:w="1400"/>
            <w:tcBorders>
              <w:top w:val="single" w:color="DDDDDD" w:sz="3"/>
              <w:left w:val="single" w:color="DDDDDD" w:sz="3"/>
              <w:bottom w:val="single" w:color="DDDDDD" w:sz="3"/>
              <w:right w:val="single" w:color="DDDDDD" w:sz="3"/>
            </w:tcBorders>
            <w:shd w:fill="D0EEEB" w:val="clear"/>
            <w:tcMar>
              <w:top w:type="dxa" w:w="80"/>
              <w:left w:type="dxa" w:w="110"/>
              <w:bottom w:type="dxa" w:w="80"/>
              <w:right w:type="dxa" w:w="110"/>
            </w:tcMar>
          </w:tcPr>
          <w:p>
            <w:r>
              <w:rPr>
                <w:rFonts w:ascii="Calibri" w:cs="Calibri" w:eastAsia="Calibri" w:hAnsi="Calibri"/>
                <w:b/>
                <w:bCs/>
                <w:color w:val="000000"/>
                <w:sz w:val="18"/>
                <w:szCs w:val="18"/>
              </w:rPr>
              <w:t xml:space="preserve">PROFESSIONAL</w:t>
            </w:r>
          </w:p>
        </w:tc>
        <w:tc>
          <w:tcPr>
            <w:tcW w:type="dxa" w:w="2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Managed city deployment: full HiClimaX run configured for a specific city, hosted outputs, bias-corrected ensemble, interactive visualisation dashboard, annual update</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City governments, urban planning consultancies, development banks (World Bank, ADB)</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USD 15,000–50,000 per city deployment + USD 5,000/year maintenance</w:t>
            </w:r>
          </w:p>
        </w:tc>
      </w:tr>
      <w:tr>
        <w:tc>
          <w:tcPr>
            <w:tcW w:type="dxa" w:w="1400"/>
            <w:tcBorders>
              <w:top w:val="single" w:color="DDDDDD" w:sz="3"/>
              <w:left w:val="single" w:color="DDDDDD" w:sz="3"/>
              <w:bottom w:val="single" w:color="DDDDDD" w:sz="3"/>
              <w:right w:val="single" w:color="DDDDDD" w:sz="3"/>
            </w:tcBorders>
            <w:shd w:fill="FCE8D8" w:val="clear"/>
            <w:tcMar>
              <w:top w:type="dxa" w:w="80"/>
              <w:left w:type="dxa" w:w="110"/>
              <w:bottom w:type="dxa" w:w="80"/>
              <w:right w:type="dxa" w:w="110"/>
            </w:tcMar>
          </w:tcPr>
          <w:p>
            <w:r>
              <w:rPr>
                <w:rFonts w:ascii="Calibri" w:cs="Calibri" w:eastAsia="Calibri" w:hAnsi="Calibri"/>
                <w:b/>
                <w:bCs/>
                <w:color w:val="000000"/>
                <w:sz w:val="18"/>
                <w:szCs w:val="18"/>
              </w:rPr>
              <w:t xml:space="preserve">ENTERPRISE</w:t>
            </w:r>
          </w:p>
        </w:tc>
        <w:tc>
          <w:tcPr>
            <w:tcW w:type="dxa" w:w="2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Climate risk analytics: HiClimaX outputs processed into risk indices (Heat Risk Score, Flood Probability Index) delivered via dashboard or API integration; custom SLA; dedicated support</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Insurance companies (re/insurance), real estate funds, infrastructure investors, sovereign wealth funds</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USD 50,000–200,000/year; custom contracts</w:t>
            </w:r>
          </w:p>
        </w:tc>
      </w:tr>
      <w:tr>
        <w:tc>
          <w:tcPr>
            <w:tcW w:type="dxa" w:w="1400"/>
            <w:tcBorders>
              <w:top w:val="single" w:color="DDDDDD" w:sz="3"/>
              <w:left w:val="single" w:color="DDDDDD" w:sz="3"/>
              <w:bottom w:val="single" w:color="DDDDDD" w:sz="3"/>
              <w:right w:val="single" w:color="DDDDDD" w:sz="3"/>
            </w:tcBorders>
            <w:shd w:fill="EDE7F6" w:val="clear"/>
            <w:tcMar>
              <w:top w:type="dxa" w:w="80"/>
              <w:left w:type="dxa" w:w="110"/>
              <w:bottom w:type="dxa" w:w="80"/>
              <w:right w:type="dxa" w:w="110"/>
            </w:tcMar>
          </w:tcPr>
          <w:p>
            <w:r>
              <w:rPr>
                <w:rFonts w:ascii="Calibri" w:cs="Calibri" w:eastAsia="Calibri" w:hAnsi="Calibri"/>
                <w:b/>
                <w:bCs/>
                <w:color w:val="000000"/>
                <w:sz w:val="18"/>
                <w:szCs w:val="18"/>
              </w:rPr>
              <w:t xml:space="preserve">TRAINING &amp; CERTIFICATION</w:t>
            </w:r>
          </w:p>
        </w:tc>
        <w:tc>
          <w:tcPr>
            <w:tcW w:type="dxa" w:w="2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HiClimaX Practitioner Certificate: 3-day online course on urban climate downscaling using HiClimaX; annual cohorts of 30–50 participants from NMS, government, consultancies</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NMS staff, urban planners, climate consultants, PhD students</w:t>
            </w:r>
          </w:p>
        </w:tc>
        <w:tc>
          <w:tcPr>
            <w:tcW w:type="dxa" w:w="25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USD 800–1,500 per participant; institutional licences for NMS (USD 5,000–15,000)</w:t>
            </w:r>
          </w:p>
        </w:tc>
      </w:tr>
      <w:tr>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bCs/>
                <w:color w:val="000000"/>
                <w:sz w:val="18"/>
                <w:szCs w:val="18"/>
              </w:rPr>
              <w:t xml:space="preserve">POLICY REPORTS</w:t>
            </w:r>
          </w:p>
        </w:tc>
        <w:tc>
          <w:tcPr>
            <w:tcW w:type="dxa" w:w="2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Certified City Climate Profile: 50-page standardised climate projection report for a city, certified as HiClimaX-Compliant; suitable for submission to national adaptation plans or green bond prospectuses</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Municipalities applying for green bonds, climate adaptation funding, national government NDC updates</w:t>
            </w:r>
          </w:p>
        </w:tc>
        <w:tc>
          <w:tcPr>
            <w:tcW w:type="dxa" w:w="25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USD 20,000–80,000 per report; co-produced with local NMS partner</w:t>
            </w:r>
          </w:p>
        </w:tc>
      </w:tr>
    </w:tbl>
    <w:p>
      <w:pPr>
        <w:spacing w:after="40" w:before="40"/>
      </w:pPr>
      <w:r>
        <w:t xml:space="preserve"/>
      </w:r>
    </w:p>
    <w:p>
      <w:pPr>
        <w:pStyle w:val="Heading2"/>
        <w:spacing w:after="100" w:before="260"/>
      </w:pPr>
      <w:r>
        <w:rPr>
          <w:rFonts w:ascii="Calibri" w:cs="Calibri" w:eastAsia="Calibri" w:hAnsi="Calibri"/>
          <w:b/>
          <w:bCs/>
          <w:color w:val="0D2B55"/>
          <w:sz w:val="26"/>
          <w:szCs w:val="26"/>
        </w:rPr>
        <w:t xml:space="preserve">6.3  Revenue Projections (Conservative Scenario)</w:t>
      </w:r>
    </w:p>
    <w:p>
      <w:pPr>
        <w:spacing w:after="10" w:before="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000"/>
      </w:tblGrid>
      <w:tr>
        <w:trPr>
          <w:tblHeader/>
        </w:trPr>
        <w:tc>
          <w:tcPr>
            <w:tcW w:type="dxa" w:w="1400"/>
            <w:tcBorders>
              <w:top w:val="single" w:color="DDDDDD" w:sz="3"/>
              <w:left w:val="single" w:color="DDDDDD" w:sz="3"/>
              <w:bottom w:val="single" w:color="DDDDDD" w:sz="3"/>
              <w:right w:val="single" w:color="DDDDDD" w:sz="3"/>
            </w:tcBorders>
            <w:shd w:fill="C6900A" w:val="clear"/>
            <w:tcMar>
              <w:top w:type="dxa" w:w="80"/>
              <w:left w:type="dxa" w:w="110"/>
              <w:bottom w:type="dxa" w:w="80"/>
              <w:right w:type="dxa" w:w="110"/>
            </w:tcMar>
          </w:tcPr>
          <w:p>
            <w:r>
              <w:rPr>
                <w:rFonts w:ascii="Calibri" w:cs="Calibri" w:eastAsia="Calibri" w:hAnsi="Calibri"/>
                <w:b/>
                <w:bCs/>
                <w:color w:val="FFFFFF"/>
                <w:sz w:val="18"/>
                <w:szCs w:val="18"/>
              </w:rPr>
              <w:t xml:space="preserve">Year</w:t>
            </w:r>
          </w:p>
        </w:tc>
        <w:tc>
          <w:tcPr>
            <w:tcW w:type="dxa" w:w="4800"/>
            <w:tcBorders>
              <w:top w:val="single" w:color="DDDDDD" w:sz="3"/>
              <w:left w:val="single" w:color="DDDDDD" w:sz="3"/>
              <w:bottom w:val="single" w:color="DDDDDD" w:sz="3"/>
              <w:right w:val="single" w:color="DDDDDD" w:sz="3"/>
            </w:tcBorders>
            <w:shd w:fill="C6900A" w:val="clear"/>
            <w:tcMar>
              <w:top w:type="dxa" w:w="80"/>
              <w:left w:type="dxa" w:w="110"/>
              <w:bottom w:type="dxa" w:w="80"/>
              <w:right w:type="dxa" w:w="110"/>
            </w:tcMar>
          </w:tcPr>
          <w:p>
            <w:r>
              <w:rPr>
                <w:rFonts w:ascii="Calibri" w:cs="Calibri" w:eastAsia="Calibri" w:hAnsi="Calibri"/>
                <w:b/>
                <w:bCs/>
                <w:color w:val="FFFFFF"/>
                <w:sz w:val="18"/>
                <w:szCs w:val="18"/>
              </w:rPr>
              <w:t xml:space="preserve">Key Milestones</w:t>
            </w:r>
          </w:p>
        </w:tc>
        <w:tc>
          <w:tcPr>
            <w:tcW w:type="dxa" w:w="3000"/>
            <w:tcBorders>
              <w:top w:val="single" w:color="DDDDDD" w:sz="3"/>
              <w:left w:val="single" w:color="DDDDDD" w:sz="3"/>
              <w:bottom w:val="single" w:color="DDDDDD" w:sz="3"/>
              <w:right w:val="single" w:color="DDDDDD" w:sz="3"/>
            </w:tcBorders>
            <w:shd w:fill="C6900A" w:val="clear"/>
            <w:tcMar>
              <w:top w:type="dxa" w:w="80"/>
              <w:left w:type="dxa" w:w="110"/>
              <w:bottom w:type="dxa" w:w="80"/>
              <w:right w:type="dxa" w:w="110"/>
            </w:tcMar>
          </w:tcPr>
          <w:p>
            <w:r>
              <w:rPr>
                <w:rFonts w:ascii="Calibri" w:cs="Calibri" w:eastAsia="Calibri" w:hAnsi="Calibri"/>
                <w:b/>
                <w:bCs/>
                <w:color w:val="FFFFFF"/>
                <w:sz w:val="18"/>
                <w:szCs w:val="18"/>
              </w:rPr>
              <w:t xml:space="preserve">Estimated Revenue</w:t>
            </w:r>
          </w:p>
        </w:tc>
      </w:tr>
      <w:tr>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Year 1 (2026)</w:t>
            </w:r>
          </w:p>
        </w:tc>
        <w:tc>
          <w:tcPr>
            <w:tcW w:type="dxa" w:w="4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GMD paper published; documentation live; free API launched; 1 pilot city deployment (partner NMS, grant-funded)</w:t>
            </w:r>
          </w:p>
        </w:tc>
        <w:tc>
          <w:tcPr>
            <w:tcW w:type="dxa" w:w="3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EUR 0 commercial + grant support (~EUR 50K for pilot city)</w:t>
            </w:r>
          </w:p>
        </w:tc>
      </w:tr>
      <w:tr>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Year 2 (2027)</w:t>
            </w:r>
          </w:p>
        </w:tc>
        <w:tc>
          <w:tcPr>
            <w:tcW w:type="dxa" w:w="4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3 paid city deployments (via C40 or World Bank channel); training programme launches (2 cohorts × 30 participants); API freemium reaches 500 users; 2 policy reports</w:t>
            </w:r>
          </w:p>
        </w:tc>
        <w:tc>
          <w:tcPr>
            <w:tcW w:type="dxa" w:w="3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~EUR 150,000–250,000</w:t>
            </w:r>
          </w:p>
        </w:tc>
      </w:tr>
      <w:tr>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Year 3 (2028)</w:t>
            </w:r>
          </w:p>
        </w:tc>
        <w:tc>
          <w:tcPr>
            <w:tcW w:type="dxa" w:w="4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10 paid city deployments; first enterprise insurance client; 4 training cohorts/year; API standard tier at 200 subscribers; WMO partnership formalised</w:t>
            </w:r>
          </w:p>
        </w:tc>
        <w:tc>
          <w:tcPr>
            <w:tcW w:type="dxa" w:w="30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~EUR 600,000–1,000,000</w:t>
            </w:r>
          </w:p>
        </w:tc>
      </w:tr>
      <w:tr>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Year 5 (2030)</w:t>
            </w:r>
          </w:p>
        </w:tc>
        <w:tc>
          <w:tcPr>
            <w:tcW w:type="dxa" w:w="4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30+ cities; 3 enterprise clients; 500+ API subscribers; training programme self-sustaining; spin-off company or foundation model possible</w:t>
            </w:r>
          </w:p>
        </w:tc>
        <w:tc>
          <w:tcPr>
            <w:tcW w:type="dxa" w:w="30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~EUR 2,000,000–5,000,000</w:t>
            </w:r>
          </w:p>
        </w:tc>
      </w:tr>
    </w:tbl>
    <w:p>
      <w:pPr>
        <w:spacing w:after="30" w:before="3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900A" w:sz="8"/>
              <w:left w:val="thick" w:color="C6900A" w:sz="28"/>
              <w:bottom w:val="single" w:color="C6900A" w:sz="2"/>
              <w:right w:val="nil"/>
            </w:tcBorders>
            <w:shd w:fill="FDF3D0" w:val="clear"/>
            <w:tcMar>
              <w:top w:type="dxa" w:w="140"/>
              <w:left w:type="dxa" w:w="220"/>
              <w:bottom w:type="dxa" w:w="140"/>
              <w:right w:type="dxa" w:w="220"/>
            </w:tcMar>
          </w:tcPr>
          <w:p>
            <w:pPr>
              <w:spacing w:after="60" w:before="0"/>
            </w:pPr>
            <w:r>
              <w:rPr>
                <w:rFonts w:ascii="Calibri" w:cs="Calibri" w:eastAsia="Calibri" w:hAnsi="Calibri"/>
                <w:b/>
                <w:bCs/>
                <w:color w:val="C6900A"/>
                <w:sz w:val="19"/>
                <w:szCs w:val="19"/>
              </w:rPr>
              <w:t xml:space="preserve">Funding Pathway to Reach Year 2</w:t>
            </w:r>
          </w:p>
          <w:p>
            <w:pPr>
              <w:spacing w:after="0" w:before="0"/>
            </w:pPr>
            <w:r>
              <w:rPr>
                <w:rFonts w:ascii="Calibri" w:cs="Calibri" w:eastAsia="Calibri" w:hAnsi="Calibri"/>
                <w:sz w:val="19"/>
                <w:szCs w:val="19"/>
              </w:rPr>
              <w:t xml:space="preserve">The path from today to commercial revenue requires bridging funding. The most realistic sources are: (1) JST CREST or KAKENHI grant for the open-source framework development (already aligned with HiClimaX's academic mission); (2) a UNDP or World Bank 'Climate Information for Cities' small grant (USD 50,000–200,000) to deploy HiClimaX in 2–3 developing-country cities; (3) a European Commission Horizon Europe proposal (e.g., under the Climate Sciences and Responses call) with IMEC/RMI/VUB Brussels team as EU partner — the Belgian connection through Dr. Hamdi makes this feasible. These grants fund the infrastructure while commercial revenue catches up.</w:t>
            </w:r>
          </w:p>
        </w:tc>
      </w:tr>
    </w:tbl>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2E9CCA"/>
          <w:sz w:val="32"/>
          <w:szCs w:val="32"/>
        </w:rPr>
        <w:t xml:space="preserve">7. Positioning for the Urban Digital Twin Future</w:t>
      </w:r>
    </w:p>
    <w:p>
      <w:pPr>
        <w:spacing w:after="80" w:before="60" w:line="284" w:lineRule="auto"/>
        <w:jc w:val="left"/>
      </w:pPr>
      <w:r>
        <w:rPr>
          <w:rFonts w:ascii="Calibri" w:cs="Calibri" w:eastAsia="Calibri" w:hAnsi="Calibri"/>
          <w:color w:val="1A1A2E"/>
          <w:sz w:val="20"/>
          <w:szCs w:val="20"/>
        </w:rPr>
        <w:t xml:space="preserve">The next wave of urban climate applications is urban digital twins — integrated data platforms that combine real-time sensor data, urban models, and future projections for city planning and operations. HiClimaX's ensemble projections are a natural input layer to digital twins. This positions HiClimaX at the intersection of three high-growth markets.</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tcBorders>
              <w:top w:val="single" w:color="DDDDDD" w:sz="3"/>
              <w:left w:val="single" w:color="DDDDDD" w:sz="3"/>
              <w:bottom w:val="single" w:color="DDDDDD" w:sz="3"/>
              <w:right w:val="single" w:color="DDDDDD" w:sz="3"/>
            </w:tcBorders>
            <w:shd w:fill="2E9CCA" w:val="clear"/>
            <w:tcMar>
              <w:top w:type="dxa" w:w="80"/>
              <w:left w:type="dxa" w:w="110"/>
              <w:bottom w:type="dxa" w:w="80"/>
              <w:right w:type="dxa" w:w="110"/>
            </w:tcMar>
          </w:tcPr>
          <w:p>
            <w:r>
              <w:rPr>
                <w:rFonts w:ascii="Calibri" w:cs="Calibri" w:eastAsia="Calibri" w:hAnsi="Calibri"/>
                <w:b/>
                <w:bCs/>
                <w:color w:val="FFFFFF"/>
                <w:sz w:val="18"/>
                <w:szCs w:val="18"/>
              </w:rPr>
              <w:t xml:space="preserve">Emerging Market</w:t>
            </w:r>
          </w:p>
        </w:tc>
        <w:tc>
          <w:tcPr>
            <w:tcW w:type="dxa" w:w="3800"/>
            <w:tcBorders>
              <w:top w:val="single" w:color="DDDDDD" w:sz="3"/>
              <w:left w:val="single" w:color="DDDDDD" w:sz="3"/>
              <w:bottom w:val="single" w:color="DDDDDD" w:sz="3"/>
              <w:right w:val="single" w:color="DDDDDD" w:sz="3"/>
            </w:tcBorders>
            <w:shd w:fill="2E9CCA" w:val="clear"/>
            <w:tcMar>
              <w:top w:type="dxa" w:w="80"/>
              <w:left w:type="dxa" w:w="110"/>
              <w:bottom w:type="dxa" w:w="80"/>
              <w:right w:type="dxa" w:w="110"/>
            </w:tcMar>
          </w:tcPr>
          <w:p>
            <w:r>
              <w:rPr>
                <w:rFonts w:ascii="Calibri" w:cs="Calibri" w:eastAsia="Calibri" w:hAnsi="Calibri"/>
                <w:b/>
                <w:bCs/>
                <w:color w:val="FFFFFF"/>
                <w:sz w:val="18"/>
                <w:szCs w:val="18"/>
              </w:rPr>
              <w:t xml:space="preserve">Connection to HiClimaX</w:t>
            </w:r>
          </w:p>
        </w:tc>
        <w:tc>
          <w:tcPr>
            <w:tcW w:type="dxa" w:w="3200"/>
            <w:tcBorders>
              <w:top w:val="single" w:color="DDDDDD" w:sz="3"/>
              <w:left w:val="single" w:color="DDDDDD" w:sz="3"/>
              <w:bottom w:val="single" w:color="DDDDDD" w:sz="3"/>
              <w:right w:val="single" w:color="DDDDDD" w:sz="3"/>
            </w:tcBorders>
            <w:shd w:fill="2E9CCA" w:val="clear"/>
            <w:tcMar>
              <w:top w:type="dxa" w:w="80"/>
              <w:left w:type="dxa" w:w="110"/>
              <w:bottom w:type="dxa" w:w="80"/>
              <w:right w:type="dxa" w:w="110"/>
            </w:tcMar>
          </w:tcPr>
          <w:p>
            <w:r>
              <w:rPr>
                <w:rFonts w:ascii="Calibri" w:cs="Calibri" w:eastAsia="Calibri" w:hAnsi="Calibri"/>
                <w:b/>
                <w:bCs/>
                <w:color w:val="FFFFFF"/>
                <w:sz w:val="18"/>
                <w:szCs w:val="18"/>
              </w:rPr>
              <w:t xml:space="preserve">Key Players to Partner With</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Urban Digital Twins</w:t>
            </w:r>
          </w:p>
        </w:tc>
        <w:tc>
          <w:tcPr>
            <w:tcW w:type="dxa" w:w="3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Digital twins need future climate scenarios as inputs. HiClimaX provides exactly this: high-resolution, multi-method ensemble projections for specific cities. The standardised output format enables plug-in integration.</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Siemens Xcelerator, Bentley Systems iTwin, NVIDIA Omniverse, Esri ArcGIS Urban; also national programmes: Singapore Virtual Singapore, Netherlands 3DBAG</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Climate Risk Disclosure (TCFD/ISSB)</w:t>
            </w:r>
          </w:p>
        </w:tc>
        <w:tc>
          <w:tcPr>
            <w:tcW w:type="dxa" w:w="3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New IFRS S2 standards require companies to disclose physical climate risks. This requires localised projections — exactly HiClimaX's output. The risk analytics tier (Section 6.2) serves this market directly.</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Moody's Climate Solutions, Swiss Re, Verisk, Jupiter Intelligence; ESG data providers: MSCI, Sustainalytics</w:t>
            </w:r>
          </w:p>
        </w:tc>
      </w:tr>
      <w:tr>
        <w:tc>
          <w:tcPr>
            <w:tcW w:type="dxa" w:w="2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Smart City Platforms</w:t>
            </w:r>
          </w:p>
        </w:tc>
        <w:tc>
          <w:tcPr>
            <w:tcW w:type="dxa" w:w="38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Smart city platforms (Sidewalk Labs, Microsoft Azure Smart Cities, IBM MAS) need climate information for infrastructure planning. HiClimaX API integration provides climate intelligence at the city-block scale.</w:t>
            </w:r>
          </w:p>
        </w:tc>
        <w:tc>
          <w:tcPr>
            <w:tcW w:type="dxa" w:w="32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Microsoft (partner programme), AWS Climate Tech, Google Earth Engine; Urban planning SaaS: Autodesk InfoWorks, Mike+ by DHI</w:t>
            </w:r>
          </w:p>
        </w:tc>
      </w:tr>
      <w:tr>
        <w:tc>
          <w:tcPr>
            <w:tcW w:type="dxa" w:w="2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AI Foundation Models for Earth System</w:t>
            </w:r>
          </w:p>
        </w:tc>
        <w:tc>
          <w:tcPr>
            <w:tcW w:type="dxa" w:w="38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Large AI models for weather/climate (GraphCast, Pangu-Weather, ClimaX, Aardvark) will increasingly be used for downscaling. HiClimaX provides the validation framework and urban-specific benchmark datasets needed to evaluate these models in city contexts.</w:t>
            </w:r>
          </w:p>
        </w:tc>
        <w:tc>
          <w:tcPr>
            <w:tcW w:type="dxa" w:w="32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Microsoft Research (ClimaX), Google DeepMind (GraphCast), Huawei (Pangu-Weather), NVIDIA Earth-2; academic: ECMWF AI team, NCAR-AI</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9CCA" w:sz="8"/>
              <w:left w:val="thick" w:color="2E9CCA" w:sz="28"/>
              <w:bottom w:val="single" w:color="2E9CCA" w:sz="2"/>
              <w:right w:val="nil"/>
            </w:tcBorders>
            <w:shd w:fill="D6E8F5" w:val="clear"/>
            <w:tcMar>
              <w:top w:type="dxa" w:w="140"/>
              <w:left w:type="dxa" w:w="220"/>
              <w:bottom w:type="dxa" w:w="140"/>
              <w:right w:type="dxa" w:w="220"/>
            </w:tcMar>
          </w:tcPr>
          <w:p>
            <w:pPr>
              <w:spacing w:after="60" w:before="0"/>
            </w:pPr>
            <w:r>
              <w:rPr>
                <w:rFonts w:ascii="Calibri" w:cs="Calibri" w:eastAsia="Calibri" w:hAnsi="Calibri"/>
                <w:b/>
                <w:bCs/>
                <w:color w:val="2E9CCA"/>
                <w:sz w:val="19"/>
                <w:szCs w:val="19"/>
              </w:rPr>
              <w:t xml:space="preserve">The AI-DS Module as a Strategic Asset</w:t>
            </w:r>
          </w:p>
          <w:p>
            <w:pPr>
              <w:spacing w:after="0" w:before="0"/>
            </w:pPr>
            <w:r>
              <w:rPr>
                <w:rFonts w:ascii="Calibri" w:cs="Calibri" w:eastAsia="Calibri" w:hAnsi="Calibri"/>
                <w:sz w:val="19"/>
                <w:szCs w:val="19"/>
              </w:rPr>
              <w:t xml:space="preserve">The AI-based downscaling module is the most strategically important module for the business ecosystem — not because it is the most scientifically rigorous, but because it is the most scalable and the one most relevant to commercial AI applications. Investing in a well-documented, reproducible AI-DS module (built on PyTorch/HuggingFace standards) will attract AI researchers, connect HiClimaX to the rapidly growing climate AI community, and enable the rapid deployment of climate projections for new cities at near-zero marginal cost. Consider contributing the AI-DS module to HuggingFace's 'climatelearn' or the Climate Change AI repository to maximise discovery.</w:t>
            </w:r>
          </w:p>
        </w:tc>
      </w:tr>
    </w:tbl>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0D2B55"/>
          <w:sz w:val="32"/>
          <w:szCs w:val="32"/>
        </w:rPr>
        <w:t xml:space="preserve">8. 36-Month Implementation Roadmap</w:t>
      </w:r>
    </w:p>
    <w:p>
      <w:pPr>
        <w:spacing w:after="10" w:before="1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DDDDDD" w:sz="4"/>
              <w:left w:val="single" w:color="DDDDDD" w:sz="4"/>
              <w:bottom w:val="single" w:color="DDDDDD" w:sz="4"/>
              <w:right w:val="single" w:color="DDDDDD" w:sz="4"/>
            </w:tcBorders>
            <w:shd w:fill="C00000" w:val="clear"/>
            <w:tcMar>
              <w:top w:type="dxa" w:w="120"/>
              <w:left w:type="dxa" w:w="100"/>
              <w:bottom w:type="dxa" w:w="120"/>
              <w:right w:type="dxa" w:w="100"/>
            </w:tcMar>
            <w:vAlign w:val="center"/>
          </w:tcPr>
          <w:p>
            <w:pPr>
              <w:jc w:val="center"/>
            </w:pPr>
            <w:r>
              <w:rPr>
                <w:rFonts w:ascii="Calibri" w:cs="Calibri" w:eastAsia="Calibri" w:hAnsi="Calibri"/>
                <w:b/>
                <w:bCs/>
                <w:color w:val="FFFFFF"/>
                <w:sz w:val="18"/>
                <w:szCs w:val="18"/>
              </w:rPr>
              <w:t xml:space="preserve">PHASE 1</w:t>
            </w:r>
          </w:p>
        </w:tc>
        <w:tc>
          <w:tcPr>
            <w:tcW w:type="dxa" w:w="8400"/>
            <w:tcBorders>
              <w:top w:val="single" w:color="DDDDDD" w:sz="4"/>
              <w:left w:val="single" w:color="DDDDDD" w:sz="4"/>
              <w:bottom w:val="single" w:color="DDDDDD" w:sz="4"/>
              <w:right w:val="single" w:color="DDDDDD" w:sz="4"/>
            </w:tcBorders>
            <w:shd w:fill="FCE4D6" w:val="clear"/>
            <w:tcMar>
              <w:top w:type="dxa" w:w="120"/>
              <w:left w:type="dxa" w:w="180"/>
              <w:bottom w:type="dxa" w:w="120"/>
              <w:right w:type="dxa" w:w="180"/>
            </w:tcMar>
          </w:tcPr>
          <w:p>
            <w:pPr>
              <w:spacing w:after="60" w:before="0"/>
            </w:pPr>
            <w:r>
              <w:rPr>
                <w:rFonts w:ascii="Calibri" w:cs="Calibri" w:eastAsia="Calibri" w:hAnsi="Calibri"/>
                <w:b/>
                <w:bCs/>
                <w:color w:val="C00000"/>
                <w:sz w:val="20"/>
                <w:szCs w:val="20"/>
              </w:rPr>
              <w:t xml:space="preserve">Foundation (Months 1–6): Make the framework real</w:t>
            </w:r>
          </w:p>
          <w:p>
            <w:pPr>
              <w:pStyle w:val="ListParagraph"/>
              <w:numPr>
                <w:ilvl w:val="0"/>
                <w:numId w:val="2"/>
              </w:numPr>
              <w:spacing w:after="40" w:before="40"/>
            </w:pPr>
            <w:r>
              <w:rPr>
                <w:rFonts w:ascii="Calibri" w:cs="Calibri" w:eastAsia="Calibri" w:hAnsi="Calibri"/>
                <w:sz w:val="19"/>
                <w:szCs w:val="19"/>
              </w:rPr>
              <w:t xml:space="preserve">Complete manuscript: write missing Sections 2.1(c) and 2.1(e); produce quantitative figures and Taylor diagrams; fix all typos; submit to GMD</w:t>
            </w:r>
          </w:p>
          <w:p>
            <w:pPr>
              <w:pStyle w:val="ListParagraph"/>
              <w:numPr>
                <w:ilvl w:val="0"/>
                <w:numId w:val="2"/>
              </w:numPr>
              <w:spacing w:after="40" w:before="40"/>
            </w:pPr>
            <w:r>
              <w:rPr>
                <w:rFonts w:ascii="Calibri" w:cs="Calibri" w:eastAsia="Calibri" w:hAnsi="Calibri"/>
                <w:sz w:val="19"/>
                <w:szCs w:val="19"/>
              </w:rPr>
              <w:t xml:space="preserve">Build hiclimax-core: standardised module interface, orchestration CLI, I/O schema (CF-1.9 NetCDF)</w:t>
            </w:r>
          </w:p>
          <w:p>
            <w:pPr>
              <w:pStyle w:val="ListParagraph"/>
              <w:numPr>
                <w:ilvl w:val="0"/>
                <w:numId w:val="2"/>
              </w:numPr>
              <w:spacing w:after="40" w:before="40"/>
            </w:pPr>
            <w:r>
              <w:rPr>
                <w:rFonts w:ascii="Calibri" w:cs="Calibri" w:eastAsia="Calibri" w:hAnsi="Calibri"/>
                <w:sz w:val="19"/>
                <w:szCs w:val="19"/>
              </w:rPr>
              <w:t xml:space="preserve">Build hiclimax-data: unified downloader for ERA5, CMIP6, IMERG, urban parameters for the 3 case cities</w:t>
            </w:r>
          </w:p>
          <w:p>
            <w:pPr>
              <w:pStyle w:val="ListParagraph"/>
              <w:numPr>
                <w:ilvl w:val="0"/>
                <w:numId w:val="2"/>
              </w:numPr>
              <w:spacing w:after="40" w:before="40"/>
            </w:pPr>
            <w:r>
              <w:rPr>
                <w:rFonts w:ascii="Calibri" w:cs="Calibri" w:eastAsia="Calibri" w:hAnsi="Calibri"/>
                <w:sz w:val="19"/>
                <w:szCs w:val="19"/>
              </w:rPr>
              <w:t xml:space="preserve">Standardise all 4 existing repos to conform to the new module interface (environment.yml, README, benchmark script)</w:t>
            </w:r>
          </w:p>
          <w:p>
            <w:pPr>
              <w:pStyle w:val="ListParagraph"/>
              <w:numPr>
                <w:ilvl w:val="0"/>
                <w:numId w:val="2"/>
              </w:numPr>
              <w:spacing w:after="40" w:before="40"/>
            </w:pPr>
            <w:r>
              <w:rPr>
                <w:rFonts w:ascii="Calibri" w:cs="Calibri" w:eastAsia="Calibri" w:hAnsi="Calibri"/>
                <w:sz w:val="19"/>
                <w:szCs w:val="19"/>
              </w:rPr>
              <w:t xml:space="preserve">Build documentation site (MkDocs Material) with quickstart, module reference, and contributing guide</w:t>
            </w:r>
          </w:p>
          <w:p>
            <w:pPr>
              <w:pStyle w:val="ListParagraph"/>
              <w:numPr>
                <w:ilvl w:val="0"/>
                <w:numId w:val="2"/>
              </w:numPr>
              <w:spacing w:after="40" w:before="40"/>
            </w:pPr>
            <w:r>
              <w:rPr>
                <w:rFonts w:ascii="Calibri" w:cs="Calibri" w:eastAsia="Calibri" w:hAnsi="Calibri"/>
                <w:sz w:val="19"/>
                <w:szCs w:val="19"/>
              </w:rPr>
              <w:t xml:space="preserve">Enable GitHub Discussions; create .github org profile README; create Discord server</w:t>
            </w:r>
          </w:p>
          <w:p>
            <w:pPr>
              <w:pStyle w:val="ListParagraph"/>
              <w:numPr>
                <w:ilvl w:val="0"/>
                <w:numId w:val="2"/>
              </w:numPr>
              <w:spacing w:after="40" w:before="40"/>
            </w:pPr>
            <w:r>
              <w:rPr>
                <w:rFonts w:ascii="Calibri" w:cs="Calibri" w:eastAsia="Calibri" w:hAnsi="Calibri"/>
                <w:sz w:val="19"/>
                <w:szCs w:val="19"/>
              </w:rPr>
              <w:t xml:space="preserve">Create Zenodo archive for each module repo and link to manuscript</w:t>
            </w:r>
          </w:p>
          <w:p>
            <w:pPr>
              <w:pStyle w:val="ListParagraph"/>
              <w:numPr>
                <w:ilvl w:val="0"/>
                <w:numId w:val="2"/>
              </w:numPr>
              <w:spacing w:after="40" w:before="40"/>
            </w:pPr>
            <w:r>
              <w:rPr>
                <w:rFonts w:ascii="Calibri" w:cs="Calibri" w:eastAsia="Calibri" w:hAnsi="Calibri"/>
                <w:sz w:val="19"/>
                <w:szCs w:val="19"/>
              </w:rPr>
              <w:t xml:space="preserve">Write and submit the first HiClimaX newsletter / announcement to the CORDEX mailing list and EGU Natural Hazards list</w:t>
            </w:r>
          </w:p>
        </w:tc>
      </w:tr>
    </w:tbl>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DDDDDD" w:sz="4"/>
              <w:left w:val="single" w:color="DDDDDD" w:sz="4"/>
              <w:bottom w:val="single" w:color="DDDDDD" w:sz="4"/>
              <w:right w:val="single" w:color="DDDDDD" w:sz="4"/>
            </w:tcBorders>
            <w:shd w:fill="C55A11" w:val="clear"/>
            <w:tcMar>
              <w:top w:type="dxa" w:w="120"/>
              <w:left w:type="dxa" w:w="100"/>
              <w:bottom w:type="dxa" w:w="120"/>
              <w:right w:type="dxa" w:w="100"/>
            </w:tcMar>
            <w:vAlign w:val="center"/>
          </w:tcPr>
          <w:p>
            <w:pPr>
              <w:jc w:val="center"/>
            </w:pPr>
            <w:r>
              <w:rPr>
                <w:rFonts w:ascii="Calibri" w:cs="Calibri" w:eastAsia="Calibri" w:hAnsi="Calibri"/>
                <w:b/>
                <w:bCs/>
                <w:color w:val="FFFFFF"/>
                <w:sz w:val="18"/>
                <w:szCs w:val="18"/>
              </w:rPr>
              <w:t xml:space="preserve">PHASE 2</w:t>
            </w:r>
          </w:p>
        </w:tc>
        <w:tc>
          <w:tcPr>
            <w:tcW w:type="dxa" w:w="8400"/>
            <w:tcBorders>
              <w:top w:val="single" w:color="DDDDDD" w:sz="4"/>
              <w:left w:val="single" w:color="DDDDDD" w:sz="4"/>
              <w:bottom w:val="single" w:color="DDDDDD" w:sz="4"/>
              <w:right w:val="single" w:color="DDDDDD" w:sz="4"/>
            </w:tcBorders>
            <w:shd w:fill="FCE8D8" w:val="clear"/>
            <w:tcMar>
              <w:top w:type="dxa" w:w="120"/>
              <w:left w:type="dxa" w:w="180"/>
              <w:bottom w:type="dxa" w:w="120"/>
              <w:right w:type="dxa" w:w="180"/>
            </w:tcMar>
          </w:tcPr>
          <w:p>
            <w:pPr>
              <w:spacing w:after="60" w:before="0"/>
            </w:pPr>
            <w:r>
              <w:rPr>
                <w:rFonts w:ascii="Calibri" w:cs="Calibri" w:eastAsia="Calibri" w:hAnsi="Calibri"/>
                <w:b/>
                <w:bCs/>
                <w:color w:val="C55A11"/>
                <w:sz w:val="20"/>
                <w:szCs w:val="20"/>
              </w:rPr>
              <w:t xml:space="preserve">Community Growth (Months 6–18): Build the gravitational field</w:t>
            </w:r>
          </w:p>
          <w:p>
            <w:pPr>
              <w:pStyle w:val="ListParagraph"/>
              <w:numPr>
                <w:ilvl w:val="0"/>
                <w:numId w:val="2"/>
              </w:numPr>
              <w:spacing w:after="40" w:before="40"/>
            </w:pPr>
            <w:r>
              <w:rPr>
                <w:rFonts w:ascii="Calibri" w:cs="Calibri" w:eastAsia="Calibri" w:hAnsi="Calibri"/>
                <w:sz w:val="19"/>
                <w:szCs w:val="19"/>
              </w:rPr>
              <w:t xml:space="preserve">Complete and release SD-DS and SDS modules; onboard external PI as module maintainer for each</w:t>
            </w:r>
          </w:p>
          <w:p>
            <w:pPr>
              <w:pStyle w:val="ListParagraph"/>
              <w:numPr>
                <w:ilvl w:val="0"/>
                <w:numId w:val="2"/>
              </w:numPr>
              <w:spacing w:after="40" w:before="40"/>
            </w:pPr>
            <w:r>
              <w:rPr>
                <w:rFonts w:ascii="Calibri" w:cs="Calibri" w:eastAsia="Calibri" w:hAnsi="Calibri"/>
                <w:sz w:val="19"/>
                <w:szCs w:val="19"/>
              </w:rPr>
              <w:t xml:space="preserve">Build and release AI-DS module (start with CNN and U-Net architectures for temperature and precipitation downscaling); publish on HuggingFace Hub</w:t>
            </w:r>
          </w:p>
          <w:p>
            <w:pPr>
              <w:pStyle w:val="ListParagraph"/>
              <w:numPr>
                <w:ilvl w:val="0"/>
                <w:numId w:val="2"/>
              </w:numPr>
              <w:spacing w:after="40" w:before="40"/>
            </w:pPr>
            <w:r>
              <w:rPr>
                <w:rFonts w:ascii="Calibri" w:cs="Calibri" w:eastAsia="Calibri" w:hAnsi="Calibri"/>
                <w:sz w:val="19"/>
                <w:szCs w:val="19"/>
              </w:rPr>
              <w:t xml:space="preserve">Release hiclimax-eval package (pip installable); compute and publish benchmark results for all modules × 3 cities; launch leaderboard on website</w:t>
            </w:r>
          </w:p>
          <w:p>
            <w:pPr>
              <w:pStyle w:val="ListParagraph"/>
              <w:numPr>
                <w:ilvl w:val="0"/>
                <w:numId w:val="2"/>
              </w:numPr>
              <w:spacing w:after="40" w:before="40"/>
            </w:pPr>
            <w:r>
              <w:rPr>
                <w:rFonts w:ascii="Calibri" w:cs="Calibri" w:eastAsia="Calibri" w:hAnsi="Calibri"/>
                <w:sz w:val="19"/>
                <w:szCs w:val="19"/>
              </w:rPr>
              <w:t xml:space="preserve">Release 3 case-study notebooks (Tokyo, HCMC, Brussels) reproducible on Google Colab / JupyterHub</w:t>
            </w:r>
          </w:p>
          <w:p>
            <w:pPr>
              <w:pStyle w:val="ListParagraph"/>
              <w:numPr>
                <w:ilvl w:val="0"/>
                <w:numId w:val="2"/>
              </w:numPr>
              <w:spacing w:after="40" w:before="40"/>
            </w:pPr>
            <w:r>
              <w:rPr>
                <w:rFonts w:ascii="Calibri" w:cs="Calibri" w:eastAsia="Calibri" w:hAnsi="Calibri"/>
                <w:sz w:val="19"/>
                <w:szCs w:val="19"/>
              </w:rPr>
              <w:t xml:space="preserve">Launch HiClimaX Practitioner Certificate (first cohort: 30 participants; target NMS staff in Japan, Belgium, Vietnam)</w:t>
            </w:r>
          </w:p>
          <w:p>
            <w:pPr>
              <w:pStyle w:val="ListParagraph"/>
              <w:numPr>
                <w:ilvl w:val="0"/>
                <w:numId w:val="2"/>
              </w:numPr>
              <w:spacing w:after="40" w:before="40"/>
            </w:pPr>
            <w:r>
              <w:rPr>
                <w:rFonts w:ascii="Calibri" w:cs="Calibri" w:eastAsia="Calibri" w:hAnsi="Calibri"/>
                <w:sz w:val="19"/>
                <w:szCs w:val="19"/>
              </w:rPr>
              <w:t xml:space="preserve">Present HiClimaX at at least 3 conferences: EGU General Assembly, AGU Fall Meeting, ICUC (International Conference on Urban Climate)</w:t>
            </w:r>
          </w:p>
          <w:p>
            <w:pPr>
              <w:pStyle w:val="ListParagraph"/>
              <w:numPr>
                <w:ilvl w:val="0"/>
                <w:numId w:val="2"/>
              </w:numPr>
              <w:spacing w:after="40" w:before="40"/>
            </w:pPr>
            <w:r>
              <w:rPr>
                <w:rFonts w:ascii="Calibri" w:cs="Calibri" w:eastAsia="Calibri" w:hAnsi="Calibri"/>
                <w:sz w:val="19"/>
                <w:szCs w:val="19"/>
              </w:rPr>
              <w:t xml:space="preserve">Submit WMO Technical Note on HiClimaX to WMO Climate Services journal</w:t>
            </w:r>
          </w:p>
          <w:p>
            <w:pPr>
              <w:pStyle w:val="ListParagraph"/>
              <w:numPr>
                <w:ilvl w:val="0"/>
                <w:numId w:val="2"/>
              </w:numPr>
              <w:spacing w:after="40" w:before="40"/>
            </w:pPr>
            <w:r>
              <w:rPr>
                <w:rFonts w:ascii="Calibri" w:cs="Calibri" w:eastAsia="Calibri" w:hAnsi="Calibri"/>
                <w:sz w:val="19"/>
                <w:szCs w:val="19"/>
              </w:rPr>
              <w:t xml:space="preserve">Initiate CORDEX-Urban partnership discussion; invite Dr. Hamdi (RMI) to collaborate on Brussels benchmark paper</w:t>
            </w:r>
          </w:p>
          <w:p>
            <w:pPr>
              <w:pStyle w:val="ListParagraph"/>
              <w:numPr>
                <w:ilvl w:val="0"/>
                <w:numId w:val="2"/>
              </w:numPr>
              <w:spacing w:after="40" w:before="40"/>
            </w:pPr>
            <w:r>
              <w:rPr>
                <w:rFonts w:ascii="Calibri" w:cs="Calibri" w:eastAsia="Calibri" w:hAnsi="Calibri"/>
                <w:sz w:val="19"/>
                <w:szCs w:val="19"/>
              </w:rPr>
              <w:t xml:space="preserve">Deploy HiClimaX for 1 pilot city under a development bank or UNDP grant (target: a Southeast Asian city for ASEAN visibility)</w:t>
            </w:r>
          </w:p>
        </w:tc>
      </w:tr>
    </w:tbl>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DDDDDD" w:sz="4"/>
              <w:left w:val="single" w:color="DDDDDD" w:sz="4"/>
              <w:bottom w:val="single" w:color="DDDDDD" w:sz="4"/>
              <w:right w:val="single" w:color="DDDDDD" w:sz="4"/>
            </w:tcBorders>
            <w:shd w:fill="C6900A" w:val="clear"/>
            <w:tcMar>
              <w:top w:type="dxa" w:w="120"/>
              <w:left w:type="dxa" w:w="100"/>
              <w:bottom w:type="dxa" w:w="120"/>
              <w:right w:type="dxa" w:w="100"/>
            </w:tcMar>
            <w:vAlign w:val="center"/>
          </w:tcPr>
          <w:p>
            <w:pPr>
              <w:jc w:val="center"/>
            </w:pPr>
            <w:r>
              <w:rPr>
                <w:rFonts w:ascii="Calibri" w:cs="Calibri" w:eastAsia="Calibri" w:hAnsi="Calibri"/>
                <w:b/>
                <w:bCs/>
                <w:color w:val="FFFFFF"/>
                <w:sz w:val="18"/>
                <w:szCs w:val="18"/>
              </w:rPr>
              <w:t xml:space="preserve">PHASE 3</w:t>
            </w:r>
          </w:p>
        </w:tc>
        <w:tc>
          <w:tcPr>
            <w:tcW w:type="dxa" w:w="8400"/>
            <w:tcBorders>
              <w:top w:val="single" w:color="DDDDDD" w:sz="4"/>
              <w:left w:val="single" w:color="DDDDDD" w:sz="4"/>
              <w:bottom w:val="single" w:color="DDDDDD" w:sz="4"/>
              <w:right w:val="single" w:color="DDDDDD" w:sz="4"/>
            </w:tcBorders>
            <w:shd w:fill="FDF3D0" w:val="clear"/>
            <w:tcMar>
              <w:top w:type="dxa" w:w="120"/>
              <w:left w:type="dxa" w:w="180"/>
              <w:bottom w:type="dxa" w:w="120"/>
              <w:right w:type="dxa" w:w="180"/>
            </w:tcMar>
          </w:tcPr>
          <w:p>
            <w:pPr>
              <w:spacing w:after="60" w:before="0"/>
            </w:pPr>
            <w:r>
              <w:rPr>
                <w:rFonts w:ascii="Calibri" w:cs="Calibri" w:eastAsia="Calibri" w:hAnsi="Calibri"/>
                <w:b/>
                <w:bCs/>
                <w:color w:val="C6900A"/>
                <w:sz w:val="20"/>
                <w:szCs w:val="20"/>
              </w:rPr>
              <w:t xml:space="preserve">Institutionalisation (Months 18–30): Enter the WMO/IPCC ecosystem</w:t>
            </w:r>
          </w:p>
          <w:p>
            <w:pPr>
              <w:pStyle w:val="ListParagraph"/>
              <w:numPr>
                <w:ilvl w:val="0"/>
                <w:numId w:val="2"/>
              </w:numPr>
              <w:spacing w:after="40" w:before="40"/>
            </w:pPr>
            <w:r>
              <w:rPr>
                <w:rFonts w:ascii="Calibri" w:cs="Calibri" w:eastAsia="Calibri" w:hAnsi="Calibri"/>
                <w:sz w:val="19"/>
                <w:szCs w:val="19"/>
              </w:rPr>
              <w:t xml:space="preserve">Submit HiClimaX as a GFCS Partner Framework (requires published GMD paper + documented service-readiness)</w:t>
            </w:r>
          </w:p>
          <w:p>
            <w:pPr>
              <w:pStyle w:val="ListParagraph"/>
              <w:numPr>
                <w:ilvl w:val="0"/>
                <w:numId w:val="2"/>
              </w:numPr>
              <w:spacing w:after="40" w:before="40"/>
            </w:pPr>
            <w:r>
              <w:rPr>
                <w:rFonts w:ascii="Calibri" w:cs="Calibri" w:eastAsia="Calibri" w:hAnsi="Calibri"/>
                <w:sz w:val="19"/>
                <w:szCs w:val="19"/>
              </w:rPr>
              <w:t xml:space="preserve">Launch paid Professional tier: first 3 commercial city deployments targeting municipalities via C40 network</w:t>
            </w:r>
          </w:p>
          <w:p>
            <w:pPr>
              <w:pStyle w:val="ListParagraph"/>
              <w:numPr>
                <w:ilvl w:val="0"/>
                <w:numId w:val="2"/>
              </w:numPr>
              <w:spacing w:after="40" w:before="40"/>
            </w:pPr>
            <w:r>
              <w:rPr>
                <w:rFonts w:ascii="Calibri" w:cs="Calibri" w:eastAsia="Calibri" w:hAnsi="Calibri"/>
                <w:sz w:val="19"/>
                <w:szCs w:val="19"/>
              </w:rPr>
              <w:t xml:space="preserve">Submit Horizon Europe or JST CREST grant proposal for Phase 3 &amp; 4 development (ensemble-as-a-service, digital twin coupling)</w:t>
            </w:r>
          </w:p>
          <w:p>
            <w:pPr>
              <w:pStyle w:val="ListParagraph"/>
              <w:numPr>
                <w:ilvl w:val="0"/>
                <w:numId w:val="2"/>
              </w:numPr>
              <w:spacing w:after="40" w:before="40"/>
            </w:pPr>
            <w:r>
              <w:rPr>
                <w:rFonts w:ascii="Calibri" w:cs="Calibri" w:eastAsia="Calibri" w:hAnsi="Calibri"/>
                <w:sz w:val="19"/>
                <w:szCs w:val="19"/>
              </w:rPr>
              <w:t xml:space="preserve">Produce 2 City Climate Profile certified reports (test product for the policy reports tier)</w:t>
            </w:r>
          </w:p>
          <w:p>
            <w:pPr>
              <w:pStyle w:val="ListParagraph"/>
              <w:numPr>
                <w:ilvl w:val="0"/>
                <w:numId w:val="2"/>
              </w:numPr>
              <w:spacing w:after="40" w:before="40"/>
            </w:pPr>
            <w:r>
              <w:rPr>
                <w:rFonts w:ascii="Calibri" w:cs="Calibri" w:eastAsia="Calibri" w:hAnsi="Calibri"/>
                <w:sz w:val="19"/>
                <w:szCs w:val="19"/>
              </w:rPr>
              <w:t xml:space="preserve">Expand benchmark suite to 10 cities covering all IPCC reference regions</w:t>
            </w:r>
          </w:p>
          <w:p>
            <w:pPr>
              <w:pStyle w:val="ListParagraph"/>
              <w:numPr>
                <w:ilvl w:val="0"/>
                <w:numId w:val="2"/>
              </w:numPr>
              <w:spacing w:after="40" w:before="40"/>
            </w:pPr>
            <w:r>
              <w:rPr>
                <w:rFonts w:ascii="Calibri" w:cs="Calibri" w:eastAsia="Calibri" w:hAnsi="Calibri"/>
                <w:sz w:val="19"/>
                <w:szCs w:val="19"/>
              </w:rPr>
              <w:t xml:space="preserve">Submit manuscript to Climatic Change or Nature Cities on 'Uncertainty in urban climate projections' using HiClimaX multi-method ensemble results</w:t>
            </w:r>
          </w:p>
          <w:p>
            <w:pPr>
              <w:pStyle w:val="ListParagraph"/>
              <w:numPr>
                <w:ilvl w:val="0"/>
                <w:numId w:val="2"/>
              </w:numPr>
              <w:spacing w:after="40" w:before="40"/>
            </w:pPr>
            <w:r>
              <w:rPr>
                <w:rFonts w:ascii="Calibri" w:cs="Calibri" w:eastAsia="Calibri" w:hAnsi="Calibri"/>
                <w:sz w:val="19"/>
                <w:szCs w:val="19"/>
              </w:rPr>
              <w:t xml:space="preserve">Establish HiClimaX Advisory Board: 5 external members from WMO, a major NMS, a development bank, an insurance company, and a city government</w:t>
            </w:r>
          </w:p>
        </w:tc>
      </w:tr>
    </w:tbl>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DDDDDD" w:sz="4"/>
              <w:left w:val="single" w:color="DDDDDD" w:sz="4"/>
              <w:bottom w:val="single" w:color="DDDDDD" w:sz="4"/>
              <w:right w:val="single" w:color="DDDDDD" w:sz="4"/>
            </w:tcBorders>
            <w:shd w:fill="5B2C6F" w:val="clear"/>
            <w:tcMar>
              <w:top w:type="dxa" w:w="120"/>
              <w:left w:type="dxa" w:w="100"/>
              <w:bottom w:type="dxa" w:w="120"/>
              <w:right w:type="dxa" w:w="100"/>
            </w:tcMar>
            <w:vAlign w:val="center"/>
          </w:tcPr>
          <w:p>
            <w:pPr>
              <w:jc w:val="center"/>
            </w:pPr>
            <w:r>
              <w:rPr>
                <w:rFonts w:ascii="Calibri" w:cs="Calibri" w:eastAsia="Calibri" w:hAnsi="Calibri"/>
                <w:b/>
                <w:bCs/>
                <w:color w:val="FFFFFF"/>
                <w:sz w:val="18"/>
                <w:szCs w:val="18"/>
              </w:rPr>
              <w:t xml:space="preserve">PHASE 4</w:t>
            </w:r>
          </w:p>
        </w:tc>
        <w:tc>
          <w:tcPr>
            <w:tcW w:type="dxa" w:w="8400"/>
            <w:tcBorders>
              <w:top w:val="single" w:color="DDDDDD" w:sz="4"/>
              <w:left w:val="single" w:color="DDDDDD" w:sz="4"/>
              <w:bottom w:val="single" w:color="DDDDDD" w:sz="4"/>
              <w:right w:val="single" w:color="DDDDDD" w:sz="4"/>
            </w:tcBorders>
            <w:shd w:fill="EDE7F6" w:val="clear"/>
            <w:tcMar>
              <w:top w:type="dxa" w:w="120"/>
              <w:left w:type="dxa" w:w="180"/>
              <w:bottom w:type="dxa" w:w="120"/>
              <w:right w:type="dxa" w:w="180"/>
            </w:tcMar>
          </w:tcPr>
          <w:p>
            <w:pPr>
              <w:spacing w:after="60" w:before="0"/>
            </w:pPr>
            <w:r>
              <w:rPr>
                <w:rFonts w:ascii="Calibri" w:cs="Calibri" w:eastAsia="Calibri" w:hAnsi="Calibri"/>
                <w:b/>
                <w:bCs/>
                <w:color w:val="5B2C6F"/>
                <w:sz w:val="20"/>
                <w:szCs w:val="20"/>
              </w:rPr>
              <w:t xml:space="preserve">Paradigm Status (Months 30–36): The default framework</w:t>
            </w:r>
          </w:p>
          <w:p>
            <w:pPr>
              <w:pStyle w:val="ListParagraph"/>
              <w:numPr>
                <w:ilvl w:val="0"/>
                <w:numId w:val="2"/>
              </w:numPr>
              <w:spacing w:after="40" w:before="40"/>
            </w:pPr>
            <w:r>
              <w:rPr>
                <w:rFonts w:ascii="Calibri" w:cs="Calibri" w:eastAsia="Calibri" w:hAnsi="Calibri"/>
                <w:sz w:val="19"/>
                <w:szCs w:val="19"/>
              </w:rPr>
              <w:t xml:space="preserve">HiClimaX paper cited in AR7 WG II draft (cities chapter); formal acknowledgement as a benchmark tool</w:t>
            </w:r>
          </w:p>
          <w:p>
            <w:pPr>
              <w:pStyle w:val="ListParagraph"/>
              <w:numPr>
                <w:ilvl w:val="0"/>
                <w:numId w:val="2"/>
              </w:numPr>
              <w:spacing w:after="40" w:before="40"/>
            </w:pPr>
            <w:r>
              <w:rPr>
                <w:rFonts w:ascii="Calibri" w:cs="Calibri" w:eastAsia="Calibri" w:hAnsi="Calibri"/>
                <w:sz w:val="19"/>
                <w:szCs w:val="19"/>
              </w:rPr>
              <w:t xml:space="preserve">Launch enterprise tier: first insurance/real estate client for climate risk analytics product</w:t>
            </w:r>
          </w:p>
          <w:p>
            <w:pPr>
              <w:pStyle w:val="ListParagraph"/>
              <w:numPr>
                <w:ilvl w:val="0"/>
                <w:numId w:val="2"/>
              </w:numPr>
              <w:spacing w:after="40" w:before="40"/>
            </w:pPr>
            <w:r>
              <w:rPr>
                <w:rFonts w:ascii="Calibri" w:cs="Calibri" w:eastAsia="Calibri" w:hAnsi="Calibri"/>
                <w:sz w:val="19"/>
                <w:szCs w:val="19"/>
              </w:rPr>
              <w:t xml:space="preserve">Release v2.0 with urban digital twin API (standardised REST/GraphQL interface for real-time climate overlay)</w:t>
            </w:r>
          </w:p>
          <w:p>
            <w:pPr>
              <w:pStyle w:val="ListParagraph"/>
              <w:numPr>
                <w:ilvl w:val="0"/>
                <w:numId w:val="2"/>
              </w:numPr>
              <w:spacing w:after="40" w:before="40"/>
            </w:pPr>
            <w:r>
              <w:rPr>
                <w:rFonts w:ascii="Calibri" w:cs="Calibri" w:eastAsia="Calibri" w:hAnsi="Calibri"/>
                <w:sz w:val="19"/>
                <w:szCs w:val="19"/>
              </w:rPr>
              <w:t xml:space="preserve">Reach 500+ GitHub stars; 50+ forks; 10+ module contributors from 5+ countries</w:t>
            </w:r>
          </w:p>
          <w:p>
            <w:pPr>
              <w:pStyle w:val="ListParagraph"/>
              <w:numPr>
                <w:ilvl w:val="0"/>
                <w:numId w:val="2"/>
              </w:numPr>
              <w:spacing w:after="40" w:before="40"/>
            </w:pPr>
            <w:r>
              <w:rPr>
                <w:rFonts w:ascii="Calibri" w:cs="Calibri" w:eastAsia="Calibri" w:hAnsi="Calibri"/>
                <w:sz w:val="19"/>
                <w:szCs w:val="19"/>
              </w:rPr>
              <w:t xml:space="preserve">Host the first HiClimaX Community Workshop (co-located with EGU or ICUC); 50+ attendees from 15+ countries</w:t>
            </w:r>
          </w:p>
          <w:p>
            <w:pPr>
              <w:pStyle w:val="ListParagraph"/>
              <w:numPr>
                <w:ilvl w:val="0"/>
                <w:numId w:val="2"/>
              </w:numPr>
              <w:spacing w:after="40" w:before="40"/>
            </w:pPr>
            <w:r>
              <w:rPr>
                <w:rFonts w:ascii="Calibri" w:cs="Calibri" w:eastAsia="Calibri" w:hAnsi="Calibri"/>
                <w:sz w:val="19"/>
                <w:szCs w:val="19"/>
              </w:rPr>
              <w:t xml:space="preserve">Evaluate organisational structure: academic spin-off, non-profit foundation (NumFOCUS model), or public benefit company</w:t>
            </w:r>
          </w:p>
          <w:p>
            <w:pPr>
              <w:pStyle w:val="ListParagraph"/>
              <w:numPr>
                <w:ilvl w:val="0"/>
                <w:numId w:val="2"/>
              </w:numPr>
              <w:spacing w:after="40" w:before="40"/>
            </w:pPr>
            <w:r>
              <w:rPr>
                <w:rFonts w:ascii="Calibri" w:cs="Calibri" w:eastAsia="Calibri" w:hAnsi="Calibri"/>
                <w:sz w:val="19"/>
                <w:szCs w:val="19"/>
              </w:rPr>
              <w:t xml:space="preserve">Publish a 5-year Science Plan for HiClimaX with the Advisory Board</w:t>
            </w:r>
          </w:p>
        </w:tc>
      </w:tr>
    </w:tbl>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0D2B55"/>
          <w:sz w:val="32"/>
          <w:szCs w:val="32"/>
        </w:rPr>
        <w:t xml:space="preserve">9. Your Next 10 Actions — Starting This Week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E9A" w:sz="8"/>
              <w:left w:val="thick" w:color="1A5E9A" w:sz="28"/>
              <w:bottom w:val="single" w:color="1A5E9A" w:sz="2"/>
              <w:right w:val="nil"/>
            </w:tcBorders>
            <w:shd w:fill="D6E8F5" w:val="clear"/>
            <w:tcMar>
              <w:top w:type="dxa" w:w="140"/>
              <w:left w:type="dxa" w:w="220"/>
              <w:bottom w:type="dxa" w:w="140"/>
              <w:right w:type="dxa" w:w="220"/>
            </w:tcMar>
          </w:tcPr>
          <w:p>
            <w:pPr>
              <w:spacing w:after="60" w:before="0"/>
            </w:pPr>
            <w:r>
              <w:rPr>
                <w:rFonts w:ascii="Calibri" w:cs="Calibri" w:eastAsia="Calibri" w:hAnsi="Calibri"/>
                <w:b/>
                <w:bCs/>
                <w:color w:val="1A5E9A"/>
                <w:sz w:val="19"/>
                <w:szCs w:val="19"/>
              </w:rPr>
              <w:t xml:space="preserve">Priority Principle</w:t>
            </w:r>
          </w:p>
          <w:p>
            <w:pPr>
              <w:spacing w:after="0" w:before="0"/>
            </w:pPr>
            <w:r>
              <w:rPr>
                <w:rFonts w:ascii="Calibri" w:cs="Calibri" w:eastAsia="Calibri" w:hAnsi="Calibri"/>
                <w:sz w:val="19"/>
                <w:szCs w:val="19"/>
              </w:rPr>
              <w:t xml:space="preserve">The single highest-leverage action is finishing the manuscript and getting it into GMD review. Everything else — community growth, WMO engagement, business development — is amplified or blocked depending on whether the scientific anchor paper exists. Do not start Phase 2 community activities until the manuscript is submitted.</w:t>
            </w:r>
          </w:p>
        </w:tc>
      </w:tr>
    </w:tbl>
    <w:p>
      <w:pPr>
        <w:spacing w:after="30" w:before="3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400"/>
        <w:gridCol w:w="1400"/>
        <w:gridCol w:w="2600"/>
      </w:tblGrid>
      <w:tr>
        <w:trPr>
          <w:tblHeader/>
        </w:trPr>
        <w:tc>
          <w:tcPr>
            <w:tcW w:type="dxa" w:w="4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w:t>
            </w:r>
          </w:p>
        </w:tc>
        <w:tc>
          <w:tcPr>
            <w:tcW w:type="dxa" w:w="34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Action</w:t>
            </w:r>
          </w:p>
        </w:tc>
        <w:tc>
          <w:tcPr>
            <w:tcW w:type="dxa" w:w="14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Owner</w:t>
            </w:r>
          </w:p>
        </w:tc>
        <w:tc>
          <w:tcPr>
            <w:tcW w:type="dxa" w:w="14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Deadline</w:t>
            </w:r>
          </w:p>
        </w:tc>
        <w:tc>
          <w:tcPr>
            <w:tcW w:type="dxa" w:w="2600"/>
            <w:tcBorders>
              <w:top w:val="single" w:color="DDDDDD" w:sz="3"/>
              <w:left w:val="single" w:color="DDDDDD" w:sz="3"/>
              <w:bottom w:val="single" w:color="DDDDDD" w:sz="3"/>
              <w:right w:val="single" w:color="DDDDDD" w:sz="3"/>
            </w:tcBorders>
            <w:shd w:fill="0D2B55" w:val="clear"/>
            <w:tcMar>
              <w:top w:type="dxa" w:w="80"/>
              <w:left w:type="dxa" w:w="110"/>
              <w:bottom w:type="dxa" w:w="80"/>
              <w:right w:type="dxa" w:w="110"/>
            </w:tcMar>
          </w:tcPr>
          <w:p>
            <w:r>
              <w:rPr>
                <w:rFonts w:ascii="Calibri" w:cs="Calibri" w:eastAsia="Calibri" w:hAnsi="Calibri"/>
                <w:b/>
                <w:bCs/>
                <w:color w:val="FFFFFF"/>
                <w:sz w:val="18"/>
                <w:szCs w:val="18"/>
              </w:rPr>
              <w:t xml:space="preserve">Why Now</w:t>
            </w:r>
          </w:p>
        </w:tc>
      </w:tr>
      <w:tr>
        <w:tc>
          <w:tcPr>
            <w:tcW w:type="dxa" w:w="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Write Section 2.1(c) Statistical–Dynamical Downscaling and Section 2.1(e) Statistical Downscaling in the manuscript</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Lead author</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2 weeks</w:t>
            </w:r>
          </w:p>
        </w:tc>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Without these, the paper cannot be submitted; blocks everything</w:t>
            </w:r>
          </w:p>
        </w:tc>
      </w:tr>
      <w:tr>
        <w:tc>
          <w:tcPr>
            <w:tcW w:type="dxa" w:w="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2</w:t>
            </w:r>
          </w:p>
        </w:tc>
        <w:tc>
          <w:tcPr>
            <w:tcW w:type="dxa" w:w="3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Run baseline evaluation for WRF module over Tokyo summer 2018; compute Bias, RMSE, Taylor skill; produce 2 figures</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PhD student / postdoc</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3 weeks</w:t>
            </w:r>
          </w:p>
        </w:tc>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This is the evidence Section 4 currently lacks; the most critical scientific gap</w:t>
            </w:r>
          </w:p>
        </w:tc>
      </w:tr>
      <w:tr>
        <w:tc>
          <w:tcPr>
            <w:tcW w:type="dxa" w:w="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3</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Create the .github repository in the HiClimaX org and write the organisation README (30 lines explaining what HiClimaX is and how to get started)</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Any team member</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3 days</w:t>
            </w:r>
          </w:p>
        </w:tc>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Zero cost; immediately improves first impressions for any GitHub visitor</w:t>
            </w:r>
          </w:p>
        </w:tc>
      </w:tr>
      <w:tr>
        <w:tc>
          <w:tcPr>
            <w:tcW w:type="dxa" w:w="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4</w:t>
            </w:r>
          </w:p>
        </w:tc>
        <w:tc>
          <w:tcPr>
            <w:tcW w:type="dxa" w:w="3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Enable GitHub Discussions on the PGW-DS_WRF repository (the most active)</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Admin</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Today</w:t>
            </w:r>
          </w:p>
        </w:tc>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Takes 2 minutes; opens the door for community questions</w:t>
            </w:r>
          </w:p>
        </w:tc>
      </w:tr>
      <w:tr>
        <w:tc>
          <w:tcPr>
            <w:tcW w:type="dxa" w:w="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5</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Create a Zenodo archive for PGW-DS_WRF at its current state; get a DOI</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Lead author</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 week</w:t>
            </w:r>
          </w:p>
        </w:tc>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Required for the GMD paper Code and Data Availability section</w:t>
            </w:r>
          </w:p>
        </w:tc>
      </w:tr>
      <w:tr>
        <w:tc>
          <w:tcPr>
            <w:tcW w:type="dxa" w:w="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6</w:t>
            </w:r>
          </w:p>
        </w:tc>
        <w:tc>
          <w:tcPr>
            <w:tcW w:type="dxa" w:w="3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Email Dr. Rafiq Hamdi (RMI Belgium) introducing HiClimaX and inviting him to co-author the Brussels benchmark sub-section</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Lead author</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 week</w:t>
            </w:r>
          </w:p>
        </w:tc>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He is already cited; this is a warm contact; creates the CORDEX-Urban bridge</w:t>
            </w:r>
          </w:p>
        </w:tc>
      </w:tr>
      <w:tr>
        <w:tc>
          <w:tcPr>
            <w:tcW w:type="dxa" w:w="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7</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Build a 3-page MkDocs site on hiclimax.github.io: Home (what is HiClimaX + install), Modules (list of 6 with one-line descriptions), and Getting Started (link to PGW-DS_WRF notebook)</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Any team member</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 week</w:t>
            </w:r>
          </w:p>
        </w:tc>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The blank website is the most visible gap to any external visitor</w:t>
            </w:r>
          </w:p>
        </w:tc>
      </w:tr>
      <w:tr>
        <w:tc>
          <w:tcPr>
            <w:tcW w:type="dxa" w:w="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8</w:t>
            </w:r>
          </w:p>
        </w:tc>
        <w:tc>
          <w:tcPr>
            <w:tcW w:type="dxa" w:w="3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Add a CITATION.cff file to PGW-DS_WRF and D-DS_WRF so GitHub shows a 'Cite this repository' button</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Any team member</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 day</w:t>
            </w:r>
          </w:p>
        </w:tc>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Trivial effort; encourages citation; professional signal</w:t>
            </w:r>
          </w:p>
        </w:tc>
      </w:tr>
      <w:tr>
        <w:tc>
          <w:tcPr>
            <w:tcW w:type="dxa" w:w="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9</w:t>
            </w:r>
          </w:p>
        </w:tc>
        <w:tc>
          <w:tcPr>
            <w:tcW w:type="dxa" w:w="3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Submit a 300-word abstract to EGU 2026 (or the next relevant conference) presenting HiClimaX proof-of-concept results</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Lead author</w:t>
            </w:r>
          </w:p>
        </w:tc>
        <w:tc>
          <w:tcPr>
            <w:tcW w:type="dxa" w:w="14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Check deadline</w:t>
            </w:r>
          </w:p>
        </w:tc>
        <w:tc>
          <w:tcPr>
            <w:tcW w:type="dxa" w:w="2600"/>
            <w:tcBorders>
              <w:top w:val="single" w:color="DDDDDD" w:sz="3"/>
              <w:left w:val="single" w:color="DDDDDD" w:sz="3"/>
              <w:bottom w:val="single" w:color="DDDDDD" w:sz="3"/>
              <w:right w:val="single" w:color="DDDDDD" w:sz="3"/>
            </w:tcBorders>
            <w:shd w:fill="F4F6F8"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Conference presentation builds visibility before the paper is published</w:t>
            </w:r>
          </w:p>
        </w:tc>
      </w:tr>
      <w:tr>
        <w:tc>
          <w:tcPr>
            <w:tcW w:type="dxa" w:w="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10</w:t>
            </w:r>
          </w:p>
        </w:tc>
        <w:tc>
          <w:tcPr>
            <w:tcW w:type="dxa" w:w="3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Write a 500-word LinkedIn / ResearchGate post announcing HiClimaX with a link to the GitHub org and the documentation site</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Lead author</w:t>
            </w:r>
          </w:p>
        </w:tc>
        <w:tc>
          <w:tcPr>
            <w:tcW w:type="dxa" w:w="14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After website is live</w:t>
            </w:r>
          </w:p>
        </w:tc>
        <w:tc>
          <w:tcPr>
            <w:tcW w:type="dxa" w:w="2600"/>
            <w:tcBorders>
              <w:top w:val="single" w:color="DDDDDD" w:sz="3"/>
              <w:left w:val="single" w:color="DDDDDD" w:sz="3"/>
              <w:bottom w:val="single" w:color="DDDDDD" w:sz="3"/>
              <w:right w:val="single" w:color="DDDDDD" w:sz="3"/>
            </w:tcBorders>
            <w:shd w:fill="FFFFFF" w:val="clear"/>
            <w:tcMar>
              <w:top w:type="dxa" w:w="80"/>
              <w:left w:type="dxa" w:w="110"/>
              <w:bottom w:type="dxa" w:w="80"/>
              <w:right w:type="dxa" w:w="110"/>
            </w:tcMar>
          </w:tcPr>
          <w:p>
            <w:r>
              <w:rPr>
                <w:rFonts w:ascii="Calibri" w:cs="Calibri" w:eastAsia="Calibri" w:hAnsi="Calibri"/>
                <w:b w:val="false"/>
                <w:bCs w:val="false"/>
                <w:color w:val="000000"/>
                <w:sz w:val="18"/>
                <w:szCs w:val="18"/>
              </w:rPr>
              <w:t xml:space="preserve">Low cost; high reach within the academic climate community; seeds future collaborations</w:t>
            </w:r>
          </w:p>
        </w:tc>
      </w:tr>
    </w:tbl>
    <w:p>
      <w:pPr>
        <w:spacing w:after="60" w:before="60"/>
      </w:pPr>
      <w:r>
        <w:t xml:space="preserve"/>
      </w:r>
    </w:p>
    <w:p>
      <w:pPr>
        <w:pStyle w:val="Heading1"/>
        <w:pBdr>
          <w:bottom w:val="single" w:color="2E9CCA" w:sz="10" w:space="4"/>
        </w:pBdr>
        <w:spacing w:after="100" w:before="400"/>
      </w:pPr>
      <w:r>
        <w:rPr>
          <w:rFonts w:ascii="Calibri" w:cs="Calibri" w:eastAsia="Calibri" w:hAnsi="Calibri"/>
          <w:b/>
          <w:bCs/>
          <w:color w:val="0D2B55"/>
          <w:sz w:val="32"/>
          <w:szCs w:val="32"/>
        </w:rPr>
        <w:t xml:space="preserve">10. Closing Perspective</w:t>
      </w:r>
    </w:p>
    <w:p>
      <w:pPr>
        <w:spacing w:after="80" w:before="60" w:line="284" w:lineRule="auto"/>
        <w:jc w:val="left"/>
      </w:pPr>
      <w:r>
        <w:rPr>
          <w:rFonts w:ascii="Calibri" w:cs="Calibri" w:eastAsia="Calibri" w:hAnsi="Calibri"/>
          <w:color w:val="1A1A2E"/>
          <w:sz w:val="20"/>
          <w:szCs w:val="20"/>
        </w:rPr>
        <w:t xml:space="preserve">The climate information gap facing cities is real, urgent, and growing. More than 1 billion people live in cities that have no high-resolution climate projection of any kind — not because the science cannot provide it, but because the methods are fragmented, inaccessible, and unreproducible. HiClimaX is the right answer to the right problem at the right moment in the IPCC cycle.</w:t>
      </w:r>
    </w:p>
    <w:p>
      <w:pPr>
        <w:spacing w:after="20" w:before="20"/>
      </w:pPr>
      <w:r>
        <w:t xml:space="preserve"/>
      </w:r>
    </w:p>
    <w:p>
      <w:pPr>
        <w:spacing w:after="80" w:before="60" w:line="284" w:lineRule="auto"/>
        <w:jc w:val="left"/>
      </w:pPr>
      <w:r>
        <w:rPr>
          <w:rFonts w:ascii="Calibri" w:cs="Calibri" w:eastAsia="Calibri" w:hAnsi="Calibri"/>
          <w:color w:val="1A1A2E"/>
          <w:sz w:val="20"/>
          <w:szCs w:val="20"/>
        </w:rPr>
        <w:t xml:space="preserve">The paradigm is not built by the paper alone, nor by the code alone, nor by the WMO alignment alone. It is built by the convergence of all three, reinforced by a community that believes in the framework and a business model that makes it sustainable. Every action in this roadmap reinforces every other.</w:t>
      </w:r>
    </w:p>
    <w:p>
      <w:pPr>
        <w:spacing w:after="20" w:before="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5" w:sz="8"/>
              <w:left w:val="thick" w:color="0D2B55" w:sz="28"/>
              <w:bottom w:val="single" w:color="0D2B55" w:sz="2"/>
              <w:right w:val="nil"/>
            </w:tcBorders>
            <w:shd w:fill="D6E8F5" w:val="clear"/>
            <w:tcMar>
              <w:top w:type="dxa" w:w="140"/>
              <w:left w:type="dxa" w:w="220"/>
              <w:bottom w:type="dxa" w:w="140"/>
              <w:right w:type="dxa" w:w="220"/>
            </w:tcMar>
          </w:tcPr>
          <w:p>
            <w:pPr>
              <w:spacing w:after="60" w:before="0"/>
            </w:pPr>
            <w:r>
              <w:rPr>
                <w:rFonts w:ascii="Calibri" w:cs="Calibri" w:eastAsia="Calibri" w:hAnsi="Calibri"/>
                <w:b/>
                <w:bCs/>
                <w:color w:val="0D2B55"/>
                <w:sz w:val="19"/>
                <w:szCs w:val="19"/>
              </w:rPr>
              <w:t xml:space="preserve">The Defining Question</w:t>
            </w:r>
          </w:p>
          <w:p>
            <w:pPr>
              <w:spacing w:after="0" w:before="0"/>
            </w:pPr>
            <w:r>
              <w:rPr>
                <w:rFonts w:ascii="Calibri" w:cs="Calibri" w:eastAsia="Calibri" w:hAnsi="Calibri"/>
                <w:sz w:val="19"/>
                <w:szCs w:val="19"/>
              </w:rPr>
              <w:t xml:space="preserve">In five years, when a researcher in Nairobi, a planner in Bangkok, or an insurance analyst in Zurich needs a high-resolution urban climate projection, do they search Google Scholar, find HiClimaX, and start from there? Or do they start from scratch with one method, in isolation, with no way to quantify their uncertainty? HiClimaX's purpose is to make the first scenario the norm. That is what a paradigm does.</w:t>
            </w:r>
          </w:p>
        </w:tc>
      </w:tr>
    </w:tbl>
    <w:p>
      <w:pPr>
        <w:spacing w:after="40" w:before="40"/>
      </w:pPr>
      <w:r>
        <w:t xml:space="preserve"/>
      </w:r>
    </w:p>
    <w:p>
      <w:pPr>
        <w:pBdr>
          <w:top w:val="single" w:color="2E9CCA" w:sz="4" w:space="4"/>
        </w:pBdr>
        <w:spacing w:before="120"/>
        <w:jc w:val="right"/>
      </w:pPr>
      <w:r>
        <w:rPr>
          <w:rFonts w:ascii="Calibri" w:cs="Calibri" w:eastAsia="Calibri" w:hAnsi="Calibri"/>
          <w:i/>
          <w:iCs/>
          <w:color w:val="B0BEC5"/>
          <w:sz w:val="16"/>
          <w:szCs w:val="16"/>
        </w:rPr>
        <w:t xml:space="preserve">HiClimaX Strategic Roadmap  |  March 2026  |  Prepared by AI Strategic Advisor</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CCA" w:sz="4" w:space="2"/>
      </w:pBdr>
      <w:jc w:val="center"/>
    </w:pPr>
    <w:r>
      <w:rPr>
        <w:rFonts w:ascii="Calibri" w:cs="Calibri" w:eastAsia="Calibri" w:hAnsi="Calibri"/>
        <w:color w:val="B0BEC5"/>
        <w:sz w:val="16"/>
        <w:szCs w:val="16"/>
      </w:rPr>
      <w:t xml:space="preserve">Page </w:t>
    </w:r>
    <w:r>
      <w:rPr>
        <w:rFonts w:ascii="Calibri" w:cs="Calibri" w:eastAsia="Calibri" w:hAnsi="Calibri"/>
        <w:color w:val="B0BEC5"/>
        <w:sz w:val="16"/>
        <w:szCs w:val="16"/>
      </w:rPr>
      <w:fldChar w:fldCharType="begin"/>
      <w:instrText xml:space="preserve">PAGE</w:instrText>
      <w:fldChar w:fldCharType="separate"/>
      <w:fldChar w:fldCharType="end"/>
    </w:r>
    <w:r>
      <w:rPr>
        <w:rFonts w:ascii="Calibri" w:cs="Calibri" w:eastAsia="Calibri" w:hAnsi="Calibri"/>
        <w:color w:val="B0BEC5"/>
        <w:sz w:val="16"/>
        <w:szCs w:val="16"/>
      </w:rPr>
      <w:t xml:space="preserve"> of </w:t>
    </w:r>
    <w:r>
      <w:rPr>
        <w:rFonts w:ascii="Calibri" w:cs="Calibri" w:eastAsia="Calibri" w:hAnsi="Calibri"/>
        <w:color w:val="B0BEC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CCA" w:sz="4" w:space="2"/>
      </w:pBdr>
      <w:jc w:val="right"/>
    </w:pPr>
    <w:r>
      <w:rPr>
        <w:rFonts w:ascii="Calibri" w:cs="Calibri" w:eastAsia="Calibri" w:hAnsi="Calibri"/>
        <w:color w:val="B0BEC5"/>
        <w:sz w:val="16"/>
        <w:szCs w:val="16"/>
      </w:rPr>
      <w:t xml:space="preserve">HiClimaX Strategic Roadmap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0D2B55"/>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A5E9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9CC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2026-03-15T04:59:01.657Z</dcterms:created>
  <dcterms:modified xsi:type="dcterms:W3CDTF">2026-03-15T04:59:01.657Z</dcterms:modified>
</cp:coreProperties>
</file>

<file path=docProps/custom.xml><?xml version="1.0" encoding="utf-8"?>
<Properties xmlns="http://schemas.openxmlformats.org/officeDocument/2006/custom-properties" xmlns:vt="http://schemas.openxmlformats.org/officeDocument/2006/docPropsVTypes"/>
</file>