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r>
        <w:t xml:space="preserve"/>
      </w:r>
    </w:p>
    <w:p>
      <w:pPr>
        <w:spacing w:after="80" w:before="0"/>
        <w:jc w:val="center"/>
      </w:pPr>
      <w:r>
        <w:rPr>
          <w:rFonts w:ascii="Arial" w:cs="Arial" w:eastAsia="Arial" w:hAnsi="Arial"/>
          <w:b/>
          <w:bCs/>
          <w:color w:val="1B4F72"/>
          <w:sz w:val="52"/>
          <w:szCs w:val="52"/>
        </w:rPr>
        <w:t xml:space="preserve">HiPer Studio</w:t>
      </w:r>
    </w:p>
    <w:p>
      <w:pPr>
        <w:spacing w:after="200" w:before="0"/>
        <w:jc w:val="center"/>
      </w:pPr>
      <w:r>
        <w:rPr>
          <w:rFonts w:ascii="Arial" w:cs="Arial" w:eastAsia="Arial" w:hAnsi="Arial"/>
          <w:color w:val="566573"/>
          <w:sz w:val="36"/>
          <w:szCs w:val="36"/>
        </w:rPr>
        <w:t xml:space="preserve">MVHR Design Engine</w:t>
      </w:r>
    </w:p>
    <w:p>
      <w:pPr>
        <w:pBdr>
          <w:top w:val="single" w:color="1B4F72" w:sz="6" w:space="6"/>
          <w:bottom w:val="single" w:color="1B4F72" w:sz="6" w:space="6"/>
        </w:pBdr>
        <w:spacing w:after="120" w:before="120"/>
        <w:jc w:val="center"/>
      </w:pPr>
      <w:r>
        <w:rPr>
          <w:rFonts w:ascii="Arial" w:cs="Arial" w:eastAsia="Arial" w:hAnsi="Arial"/>
          <w:b/>
          <w:bCs/>
          <w:color w:val="1B4F72"/>
          <w:sz w:val="44"/>
          <w:szCs w:val="44"/>
        </w:rPr>
        <w:t xml:space="preserve">Comprehensive Code Audit Report</w:t>
      </w:r>
    </w:p>
    <w:p>
      <w:pPr>
        <w:spacing w:after="240" w:before="0"/>
      </w:pPr>
      <w:r>
        <w:t xml:space="preserve"/>
      </w:r>
    </w:p>
    <w:p>
      <w:pPr>
        <w:spacing w:after="60" w:before="0"/>
        <w:jc w:val="center"/>
      </w:pPr>
      <w:r>
        <w:rPr>
          <w:rFonts w:ascii="Arial" w:cs="Arial" w:eastAsia="Arial" w:hAnsi="Arial"/>
          <w:color w:val="566573"/>
          <w:sz w:val="22"/>
          <w:szCs w:val="22"/>
        </w:rPr>
        <w:t xml:space="preserve">Prepared for: Jonathen — Adelaide GeoExchange</w:t>
      </w:r>
    </w:p>
    <w:p>
      <w:pPr>
        <w:spacing w:after="60" w:before="0"/>
        <w:jc w:val="center"/>
      </w:pPr>
      <w:r>
        <w:rPr>
          <w:rFonts w:ascii="Arial" w:cs="Arial" w:eastAsia="Arial" w:hAnsi="Arial"/>
          <w:color w:val="566573"/>
          <w:sz w:val="22"/>
          <w:szCs w:val="22"/>
        </w:rPr>
        <w:t xml:space="preserve">Application URL: hiper-studio.au</w:t>
      </w:r>
    </w:p>
    <w:p>
      <w:pPr>
        <w:spacing w:after="60" w:before="0"/>
        <w:jc w:val="center"/>
      </w:pPr>
      <w:r>
        <w:rPr>
          <w:rFonts w:ascii="Arial" w:cs="Arial" w:eastAsia="Arial" w:hAnsi="Arial"/>
          <w:color w:val="566573"/>
          <w:sz w:val="22"/>
          <w:szCs w:val="22"/>
        </w:rPr>
        <w:t xml:space="preserve">Audit Date: June 2026</w:t>
      </w:r>
    </w:p>
    <w:p>
      <w:pPr>
        <w:spacing w:after="0" w:before="0"/>
        <w:jc w:val="center"/>
      </w:pPr>
      <w:r>
        <w:rPr>
          <w:rFonts w:ascii="Arial" w:cs="Arial" w:eastAsia="Arial" w:hAnsi="Arial"/>
          <w:i/>
          <w:iCs/>
          <w:color w:val="566573"/>
          <w:sz w:val="20"/>
          <w:szCs w:val="20"/>
        </w:rPr>
        <w:t xml:space="preserve">Stack: Next.js / Vercel · Supabase · Stripe</w:t>
      </w:r>
    </w:p>
    <w:p>
      <w:pPr>
        <w:spacing w:after="480" w:before="0"/>
      </w:pPr>
      <w:r>
        <w:t xml:space="preserve"/>
      </w:r>
    </w:p>
    <w:p>
      <w:pPr>
        <w:spacing w:after="120" w:before="0"/>
        <w:jc w:val="center"/>
      </w:pPr>
      <w:r>
        <w:rPr>
          <w:rFonts w:ascii="Arial" w:cs="Arial" w:eastAsia="Arial" w:hAnsi="Arial"/>
          <w:b/>
          <w:bCs/>
          <w:color w:val="1B4F72"/>
          <w:sz w:val="24"/>
          <w:szCs w:val="24"/>
        </w:rPr>
        <w:t xml:space="preserve">Finding Summary</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0392B" w:val="clear"/>
            <w:tcMar>
              <w:top w:type="dxa" w:w="100"/>
              <w:left w:type="dxa" w:w="60"/>
              <w:bottom w:type="dxa" w:w="100"/>
              <w:right w:type="dxa" w:w="60"/>
            </w:tcMar>
            <w:vAlign w:val="center"/>
          </w:tcPr>
          <w:p>
            <w:pPr>
              <w:jc w:val="center"/>
            </w:pPr>
            <w:r>
              <w:rPr>
                <w:rFonts w:ascii="Arial" w:cs="Arial" w:eastAsia="Arial" w:hAnsi="Arial"/>
                <w:b/>
                <w:bCs/>
                <w:color w:val="FFFFFF"/>
                <w:sz w:val="52"/>
                <w:szCs w:val="52"/>
              </w:rPr>
              <w:t xml:space="preserve">4</w:t>
            </w:r>
          </w:p>
          <w:p>
            <w:pPr>
              <w:jc w:val="center"/>
            </w:pPr>
            <w:r>
              <w:rPr>
                <w:rFonts w:ascii="Arial" w:cs="Arial" w:eastAsia="Arial" w:hAnsi="Arial"/>
                <w:color w:val="FFFFFF"/>
                <w:sz w:val="18"/>
                <w:szCs w:val="18"/>
              </w:rPr>
              <w:t xml:space="preserve">Critical</w:t>
            </w:r>
          </w:p>
        </w:tc>
        <w:tc>
          <w:tcPr>
            <w:tcW w:type="dxa" w:w="2340"/>
            <w:tcBorders>
              <w:top w:val="single" w:color="CCCCCC" w:sz="1"/>
              <w:left w:val="single" w:color="CCCCCC" w:sz="1"/>
              <w:bottom w:val="single" w:color="CCCCCC" w:sz="1"/>
              <w:right w:val="single" w:color="CCCCCC" w:sz="1"/>
            </w:tcBorders>
            <w:shd w:fill="E67E22" w:val="clear"/>
            <w:tcMar>
              <w:top w:type="dxa" w:w="100"/>
              <w:left w:type="dxa" w:w="60"/>
              <w:bottom w:type="dxa" w:w="100"/>
              <w:right w:type="dxa" w:w="60"/>
            </w:tcMar>
            <w:vAlign w:val="center"/>
          </w:tcPr>
          <w:p>
            <w:pPr>
              <w:jc w:val="center"/>
            </w:pPr>
            <w:r>
              <w:rPr>
                <w:rFonts w:ascii="Arial" w:cs="Arial" w:eastAsia="Arial" w:hAnsi="Arial"/>
                <w:b/>
                <w:bCs/>
                <w:color w:val="FFFFFF"/>
                <w:sz w:val="52"/>
                <w:szCs w:val="52"/>
              </w:rPr>
              <w:t xml:space="preserve">5</w:t>
            </w:r>
          </w:p>
          <w:p>
            <w:pPr>
              <w:jc w:val="center"/>
            </w:pPr>
            <w:r>
              <w:rPr>
                <w:rFonts w:ascii="Arial" w:cs="Arial" w:eastAsia="Arial" w:hAnsi="Arial"/>
                <w:color w:val="FFFFFF"/>
                <w:sz w:val="18"/>
                <w:szCs w:val="18"/>
              </w:rPr>
              <w:t xml:space="preserve">High</w:t>
            </w:r>
          </w:p>
        </w:tc>
        <w:tc>
          <w:tcPr>
            <w:tcW w:type="dxa" w:w="2340"/>
            <w:tcBorders>
              <w:top w:val="single" w:color="CCCCCC" w:sz="1"/>
              <w:left w:val="single" w:color="CCCCCC" w:sz="1"/>
              <w:bottom w:val="single" w:color="CCCCCC" w:sz="1"/>
              <w:right w:val="single" w:color="CCCCCC" w:sz="1"/>
            </w:tcBorders>
            <w:shd w:fill="F39C12" w:val="clear"/>
            <w:tcMar>
              <w:top w:type="dxa" w:w="100"/>
              <w:left w:type="dxa" w:w="60"/>
              <w:bottom w:type="dxa" w:w="100"/>
              <w:right w:type="dxa" w:w="60"/>
            </w:tcMar>
            <w:vAlign w:val="center"/>
          </w:tcPr>
          <w:p>
            <w:pPr>
              <w:jc w:val="center"/>
            </w:pPr>
            <w:r>
              <w:rPr>
                <w:rFonts w:ascii="Arial" w:cs="Arial" w:eastAsia="Arial" w:hAnsi="Arial"/>
                <w:b/>
                <w:bCs/>
                <w:color w:val="FFFFFF"/>
                <w:sz w:val="52"/>
                <w:szCs w:val="52"/>
              </w:rPr>
              <w:t xml:space="preserve">7</w:t>
            </w:r>
          </w:p>
          <w:p>
            <w:pPr>
              <w:jc w:val="center"/>
            </w:pPr>
            <w:r>
              <w:rPr>
                <w:rFonts w:ascii="Arial" w:cs="Arial" w:eastAsia="Arial" w:hAnsi="Arial"/>
                <w:color w:val="FFFFFF"/>
                <w:sz w:val="18"/>
                <w:szCs w:val="18"/>
              </w:rPr>
              <w:t xml:space="preserve">Medium</w:t>
            </w:r>
          </w:p>
        </w:tc>
        <w:tc>
          <w:tcPr>
            <w:tcW w:type="dxa" w:w="2340"/>
            <w:tcBorders>
              <w:top w:val="single" w:color="CCCCCC" w:sz="1"/>
              <w:left w:val="single" w:color="CCCCCC" w:sz="1"/>
              <w:bottom w:val="single" w:color="CCCCCC" w:sz="1"/>
              <w:right w:val="single" w:color="CCCCCC" w:sz="1"/>
            </w:tcBorders>
            <w:shd w:fill="27AE60" w:val="clear"/>
            <w:tcMar>
              <w:top w:type="dxa" w:w="100"/>
              <w:left w:type="dxa" w:w="60"/>
              <w:bottom w:type="dxa" w:w="100"/>
              <w:right w:type="dxa" w:w="60"/>
            </w:tcMar>
            <w:vAlign w:val="center"/>
          </w:tcPr>
          <w:p>
            <w:pPr>
              <w:jc w:val="center"/>
            </w:pPr>
            <w:r>
              <w:rPr>
                <w:rFonts w:ascii="Arial" w:cs="Arial" w:eastAsia="Arial" w:hAnsi="Arial"/>
                <w:b/>
                <w:bCs/>
                <w:color w:val="FFFFFF"/>
                <w:sz w:val="52"/>
                <w:szCs w:val="52"/>
              </w:rPr>
              <w:t xml:space="preserve">4</w:t>
            </w:r>
          </w:p>
          <w:p>
            <w:pPr>
              <w:jc w:val="center"/>
            </w:pPr>
            <w:r>
              <w:rPr>
                <w:rFonts w:ascii="Arial" w:cs="Arial" w:eastAsia="Arial" w:hAnsi="Arial"/>
                <w:color w:val="FFFFFF"/>
                <w:sz w:val="18"/>
                <w:szCs w:val="18"/>
              </w:rPr>
              <w:t xml:space="preserve">Low</w:t>
            </w:r>
          </w:p>
        </w:tc>
      </w:tr>
    </w:tbl>
    <w:p>
      <w:r>
        <w:br w:type="page"/>
      </w:r>
    </w:p>
    <w:p>
      <w:pPr>
        <w:pStyle w:val="Heading1"/>
        <w:pBdr>
          <w:bottom w:val="single" w:color="1B4F72" w:sz="4" w:space="4"/>
        </w:pBdr>
        <w:spacing w:after="120" w:before="360"/>
      </w:pPr>
      <w:r>
        <w:rPr>
          <w:rFonts w:ascii="Arial" w:cs="Arial" w:eastAsia="Arial" w:hAnsi="Arial"/>
          <w:b/>
          <w:bCs/>
          <w:color w:val="1B4F72"/>
          <w:sz w:val="32"/>
          <w:szCs w:val="32"/>
        </w:rPr>
        <w:t xml:space="preserve">1. Executive Summary</w:t>
      </w:r>
    </w:p>
    <w:p>
      <w:pPr>
        <w:spacing w:after="80" w:before="0"/>
      </w:pPr>
      <w:r>
        <w:rPr>
          <w:rFonts w:ascii="Arial" w:cs="Arial" w:eastAsia="Arial" w:hAnsi="Arial"/>
          <w:sz w:val="20"/>
          <w:szCs w:val="20"/>
        </w:rPr>
        <w:t xml:space="preserve">This report presents the findings of a comprehensive technical audit of the HiPer Studio MVHR Design Engine web application. The audit covered general code quality and security, the credit billing system, and the current multi-user data architecture. A total of 20 findings were identified across four severity levels.</w:t>
      </w:r>
    </w:p>
    <w:p>
      <w:pPr>
        <w:spacing w:after="120" w:before="0"/>
      </w:pPr>
      <w:r>
        <w:t xml:space="preserve"/>
      </w:r>
    </w:p>
    <w:p>
      <w:pPr>
        <w:spacing w:after="80" w:before="0"/>
      </w:pPr>
      <w:r>
        <w:rPr>
          <w:rFonts w:ascii="Arial" w:cs="Arial" w:eastAsia="Arial" w:hAnsi="Arial"/>
          <w:sz w:val="20"/>
          <w:szCs w:val="20"/>
        </w:rPr>
        <w:t xml:space="preserve">The application is built on a modern, well-chosen stack — Vercel serverless functions, Supabase (PostgreSQL + Auth), and Stripe — and the core credit-deduction logic is architecturally sound, using a database-level row lock to prevent race conditions and an idempotent Stripe webhook handler to prevent double-crediting. These are strong foundations.</w:t>
      </w:r>
    </w:p>
    <w:p>
      <w:pPr>
        <w:spacing w:after="120" w:before="0"/>
      </w:pPr>
      <w:r>
        <w:t xml:space="preserve"/>
      </w:r>
    </w:p>
    <w:p>
      <w:pPr>
        <w:spacing w:after="80" w:before="0"/>
      </w:pPr>
      <w:r>
        <w:rPr>
          <w:rFonts w:ascii="Arial" w:cs="Arial" w:eastAsia="Arial" w:hAnsi="Arial"/>
          <w:sz w:val="20"/>
          <w:szCs w:val="20"/>
        </w:rPr>
        <w:t xml:space="preserve">However, four Critical and five High issues require immediate attention before the platform scales to more users. The most pressing concern is that the client-side credit gate silently fails open when the Supabase client is uninitialised, allowing operations to proceed without consuming credits. A SQL type mismatch in the gift_credits database function will crash the admin credit-gifting feature at runtime. Wildcard CORS headers expose every API endpoint to cross-origin requests from any domain. And a real Vercel OIDC token has been committed to the .env.local file in the repository.</w:t>
      </w:r>
    </w:p>
    <w:p>
      <w:pPr>
        <w:spacing w:after="120" w:before="0"/>
      </w:pPr>
      <w:r>
        <w:t xml:space="preserve"/>
      </w:r>
    </w:p>
    <w:p>
      <w:pPr>
        <w:spacing w:after="80" w:before="0"/>
      </w:pPr>
      <w:r>
        <w:rPr>
          <w:rFonts w:ascii="Arial" w:cs="Arial" w:eastAsia="Arial" w:hAnsi="Arial"/>
          <w:sz w:val="20"/>
          <w:szCs w:val="20"/>
        </w:rPr>
        <w:t xml:space="preserve">The current data model has no concept of a company entity: company_name is stored as a freeform text field on the user profile and cannot support shared credit pools, company-level billing, or team administration. A planned migration path to a proper companies table is outlined in Section 4.</w:t>
      </w:r>
    </w:p>
    <w:p>
      <w:pPr>
        <w:spacing w:after="120" w:before="0"/>
      </w:pPr>
      <w:r>
        <w:t xml:space="preserve"/>
      </w:r>
    </w:p>
    <w:p>
      <w:r>
        <w:br w:type="page"/>
      </w:r>
    </w:p>
    <w:p>
      <w:pPr>
        <w:pStyle w:val="Heading1"/>
        <w:pBdr>
          <w:bottom w:val="single" w:color="1B4F72" w:sz="4" w:space="4"/>
        </w:pBdr>
        <w:spacing w:after="120" w:before="360"/>
      </w:pPr>
      <w:r>
        <w:rPr>
          <w:rFonts w:ascii="Arial" w:cs="Arial" w:eastAsia="Arial" w:hAnsi="Arial"/>
          <w:b/>
          <w:bCs/>
          <w:color w:val="1B4F72"/>
          <w:sz w:val="32"/>
          <w:szCs w:val="32"/>
        </w:rPr>
        <w:t xml:space="preserve">2. General Code Audit</w:t>
      </w:r>
    </w:p>
    <w:p>
      <w:pPr>
        <w:spacing w:after="80" w:before="0"/>
      </w:pPr>
      <w:r>
        <w:rPr>
          <w:rFonts w:ascii="Arial" w:cs="Arial" w:eastAsia="Arial" w:hAnsi="Arial"/>
          <w:sz w:val="20"/>
          <w:szCs w:val="20"/>
        </w:rPr>
        <w:t xml:space="preserve">The following findings cover security vulnerabilities, configuration errors, and code quality issues across the codebase.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200"/>
        <w:gridCol w:w="1860"/>
        <w:gridCol w:w="3400"/>
      </w:tblGrid>
      <w:tr>
        <w:trPr>
          <w:tblHeader/>
        </w:trPr>
        <w:tc>
          <w:tcPr>
            <w:tcW w:type="dxa" w:w="7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Ref</w:t>
            </w:r>
          </w:p>
        </w:tc>
        <w:tc>
          <w:tcPr>
            <w:tcW w:type="dxa" w:w="12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22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Issue</w:t>
            </w:r>
          </w:p>
        </w:tc>
        <w:tc>
          <w:tcPr>
            <w:tcW w:type="dxa" w:w="186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34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Recommended Fix</w:t>
            </w:r>
          </w:p>
        </w:tc>
      </w:tr>
      <w:tr>
        <w:tc>
          <w:tcPr>
            <w:tcW w:type="dxa" w:w="7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G-01</w:t>
            </w:r>
          </w:p>
        </w:tc>
        <w:tc>
          <w:tcPr>
            <w:tcW w:type="dxa" w:w="14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Live Vercel OIDC token committed to .env.local. While .gitignore lists .env*, this file is present in the working tree and may be included in the repo history.</w:t>
            </w:r>
          </w:p>
        </w:tc>
        <w:tc>
          <w:tcPr>
            <w:tcW w:type="dxa" w:w="18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.env.local</w:t>
            </w:r>
          </w:p>
        </w:tc>
        <w:tc>
          <w:tcPr>
            <w:tcW w:type="dxa" w:w="34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Rotate the token immediately via Vercel Dashboard. Run `git rm --cached .env.local &amp;&amp; git commit` to purge from history. Confirm .gitignore is effective.</w:t>
            </w:r>
          </w:p>
        </w:tc>
      </w:tr>
      <w:tr>
        <w:tc>
          <w:tcPr>
            <w:tcW w:type="dxa" w:w="7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G-02</w:t>
            </w:r>
          </w:p>
        </w:tc>
        <w:tc>
          <w:tcPr>
            <w:tcW w:type="dxa" w:w="14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Wildcard CORS header (Access-Control-Allow-Origin: *) is applied to all /api/* routes. Any website can initiate cross-origin requests to these endpoints.</w:t>
            </w:r>
          </w:p>
        </w:tc>
        <w:tc>
          <w:tcPr>
            <w:tcW w:type="dxa" w:w="186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vercel.json</w:t>
            </w:r>
          </w:p>
        </w:tc>
        <w:tc>
          <w:tcPr>
            <w:tcW w:type="dxa" w:w="34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Restrict to your own origin: "value": "https://hiper-studio.au". Add a separate entry for localhost only in development environments.</w:t>
            </w:r>
          </w:p>
        </w:tc>
      </w:tr>
      <w:tr>
        <w:tc>
          <w:tcPr>
            <w:tcW w:type="dxa" w:w="7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G-03</w:t>
            </w:r>
          </w:p>
        </w:tc>
        <w:tc>
          <w:tcPr>
            <w:tcW w:type="dxa" w:w="14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Live Supabase project URL and anon key are hardcoded in plain text in both index.html and admin.html, fully visible in page source to any visitor.</w:t>
            </w:r>
          </w:p>
        </w:tc>
        <w:tc>
          <w:tcPr>
            <w:tcW w:type="dxa" w:w="186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index.html:3649-3650, admin.html:436-437</w:t>
            </w:r>
          </w:p>
        </w:tc>
        <w:tc>
          <w:tcPr>
            <w:tcW w:type="dxa" w:w="34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The anon key is safe to be public by Supabase design, but inject it via a build-time environment variable (e.g. Vite/Next.js NEXT_PUBLIC_*) rather than hardcoding. Document this explicitly so future developers understand the security model.</w:t>
            </w:r>
          </w:p>
        </w:tc>
      </w:tr>
      <w:tr>
        <w:tc>
          <w:tcPr>
            <w:tcW w:type="dxa" w:w="7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G-04</w:t>
            </w:r>
          </w:p>
        </w:tc>
        <w:tc>
          <w:tcPr>
            <w:tcW w:type="dxa" w:w="14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must_change_password enforcement is implemented entirely in client-side JavaScript. A user can bypass the forced password-change screen by directly calling the Supabase API or making raw HTTP requests.</w:t>
            </w:r>
          </w:p>
        </w:tc>
        <w:tc>
          <w:tcPr>
            <w:tcW w:type="dxa" w:w="186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index.html:3896, api/admin/reset-password.js</w:t>
            </w:r>
          </w:p>
        </w:tc>
        <w:tc>
          <w:tcPr>
            <w:tcW w:type="dxa" w:w="34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Enforce must_change_password server-side: check the flag in requireAdmin() or add a Supabase Edge Function hook that rejects non-password-change requests while the flag is set.</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G-05</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No rate limiting on any API endpoint. The invite, reset-password, and credit consume endpoints are especially sensitive to abuse (account enumeration, credit drain, email flooding).</w:t>
            </w:r>
          </w:p>
        </w:tc>
        <w:tc>
          <w:tcPr>
            <w:tcW w:type="dxa" w:w="18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api/ (all routes)</w:t>
            </w:r>
          </w:p>
        </w:tc>
        <w:tc>
          <w:tcPr>
            <w:tcW w:type="dxa" w:w="34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Add Vercel Edge rate limiting or an upstream service (e.g., Upstash Rate Limit). At minimum, limit /api/admin/invite-user and /api/admin/reset-password to 10 req/min per IP.</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G-06</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cancel-invite.js resend path uses a hardcoded placeholder "https://your-app.vercel.app" as fallback redirectTo, meaning resent invites in some environments will point to the wrong URL.</w:t>
            </w:r>
          </w:p>
        </w:tc>
        <w:tc>
          <w:tcPr>
            <w:tcW w:type="dxa" w:w="18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api/admin/cancel-invite.js:30</w:t>
            </w:r>
          </w:p>
        </w:tc>
        <w:tc>
          <w:tcPr>
            <w:tcW w:type="dxa" w:w="34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Mirror the pattern from invite-user.js: derive origin from req.headers.origin or req.headers.referer with APP_URL as the last fallback.</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G-07</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No Content Security Policy (CSP) or HTTP security headers (X-Frame-Options, X-Content-Type-Options, Referrer-Policy, HSTS) are configured.</w:t>
            </w:r>
          </w:p>
        </w:tc>
        <w:tc>
          <w:tcPr>
            <w:tcW w:type="dxa" w:w="18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vercel.json</w:t>
            </w:r>
          </w:p>
        </w:tc>
        <w:tc>
          <w:tcPr>
            <w:tcW w:type="dxa" w:w="34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Add a headers block in vercel.json with at minimum: Content-Security-Policy, X-Frame-Options: DENY, X-Content-Type-Options: nosniff, Strict-Transport-Security, and Referrer-Policy: strict-origin-when-cross-origin.</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G-08</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admin_members view grants SELECT to the authenticated role broadly, then relies on an additional RLS policy to restrict access. The GRANT is too wide and the view does not have SECURITY INVOKER, so the RLS check runs as the view owner (postgres).</w:t>
            </w:r>
          </w:p>
        </w:tc>
        <w:tc>
          <w:tcPr>
            <w:tcW w:type="dxa" w:w="18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supabase-admin-patch.sql:77-79</w:t>
            </w:r>
          </w:p>
        </w:tc>
        <w:tc>
          <w:tcPr>
            <w:tcW w:type="dxa" w:w="34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Grant SELECT only via the is_admin() policy, or convert the view to a SECURITY INVOKER view so the caller's RLS context applies.</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G-09</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No automated test suite exists. package.json test script exits with an error.</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package.json</w:t>
            </w:r>
          </w:p>
        </w:tc>
        <w:tc>
          <w:tcPr>
            <w:tcW w:type="dxa" w:w="34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Add integration tests for the three critical API routes (credits/consume, stripe/webhook, admin/gift-credits) using Vitest or Jest with Supabase local emulator.</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G-10</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The application is delivered as a single 5,917-line HTML file. This makes it difficult to audit, test, or maintain, and prevents modern build optimisation (tree-shaking, code splitting, caching).</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index.html</w:t>
            </w:r>
          </w:p>
        </w:tc>
        <w:tc>
          <w:tcPr>
            <w:tcW w:type="dxa" w:w="34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Migrate to a proper frontend framework build (Vite + vanilla JS or React) with separate module files. This is a larger refactor but will significantly improve long-term maintainability.</w:t>
            </w:r>
          </w:p>
        </w:tc>
      </w:tr>
    </w:tbl>
    <w:p>
      <w:pPr>
        <w:spacing w:after="240" w:before="0"/>
      </w:pPr>
      <w:r>
        <w:t xml:space="preserve"/>
      </w:r>
    </w:p>
    <w:p>
      <w:pPr>
        <w:pStyle w:val="Heading2"/>
        <w:spacing w:after="80" w:before="280"/>
      </w:pPr>
      <w:r>
        <w:rPr>
          <w:rFonts w:ascii="Arial" w:cs="Arial" w:eastAsia="Arial" w:hAnsi="Arial"/>
          <w:b/>
          <w:bCs/>
          <w:color w:val="1B4F72"/>
          <w:sz w:val="26"/>
          <w:szCs w:val="26"/>
        </w:rPr>
        <w:t xml:space="preserve">2.1 Detailed Notes</w:t>
      </w:r>
    </w:p>
    <w:p>
      <w:pPr>
        <w:pStyle w:val="Heading3"/>
        <w:spacing w:after="60" w:before="200"/>
      </w:pPr>
      <w:r>
        <w:rPr>
          <w:rFonts w:ascii="Arial" w:cs="Arial" w:eastAsia="Arial" w:hAnsi="Arial"/>
          <w:b/>
          <w:bCs/>
          <w:color w:val="566573"/>
          <w:sz w:val="22"/>
          <w:szCs w:val="22"/>
        </w:rPr>
        <w:t xml:space="preserve">G-01 — Committed Credentials</w:t>
      </w:r>
    </w:p>
    <w:p>
      <w:pPr>
        <w:spacing w:after="80" w:before="0"/>
      </w:pPr>
      <w:r>
        <w:rPr>
          <w:rFonts w:ascii="Arial" w:cs="Arial" w:eastAsia="Arial" w:hAnsi="Arial"/>
          <w:sz w:val="20"/>
          <w:szCs w:val="20"/>
        </w:rPr>
        <w:t xml:space="preserve">The file .env.local is present in the working tree and contains a valid Vercel OIDC JWT. Even if .gitignore prevents future commits, the file may already be in git history (git log --all -- .env.local will confirm). Treat any token in this file as compromised and rotate it immediately.</w:t>
      </w:r>
    </w:p>
    <w:p>
      <w:pPr>
        <w:pStyle w:val="Heading3"/>
        <w:spacing w:after="60" w:before="200"/>
      </w:pPr>
      <w:r>
        <w:rPr>
          <w:rFonts w:ascii="Arial" w:cs="Arial" w:eastAsia="Arial" w:hAnsi="Arial"/>
          <w:b/>
          <w:bCs/>
          <w:color w:val="566573"/>
          <w:sz w:val="22"/>
          <w:szCs w:val="22"/>
        </w:rPr>
        <w:t xml:space="preserve">G-02 — Wildcard CORS</w:t>
      </w:r>
    </w:p>
    <w:p>
      <w:pPr>
        <w:spacing w:after="80" w:before="0"/>
      </w:pPr>
      <w:r>
        <w:rPr>
          <w:rFonts w:ascii="Arial" w:cs="Arial" w:eastAsia="Arial" w:hAnsi="Arial"/>
          <w:sz w:val="20"/>
          <w:szCs w:val="20"/>
        </w:rPr>
        <w:t xml:space="preserve">Access-Control-Allow-Origin: * means a malicious third-party website could make credentialed requests to your API on behalf of a logged-in user if their browser sends cookies, or can exfiltrate any non-auth-protected response body. The Supabase anon client already restricts what unauthenticated callers can do, but tightening CORS is a low-effort, high-value security improvement.</w:t>
      </w:r>
    </w:p>
    <w:p>
      <w:pPr>
        <w:pStyle w:val="Heading3"/>
        <w:spacing w:after="60" w:before="200"/>
      </w:pPr>
      <w:r>
        <w:rPr>
          <w:rFonts w:ascii="Arial" w:cs="Arial" w:eastAsia="Arial" w:hAnsi="Arial"/>
          <w:b/>
          <w:bCs/>
          <w:color w:val="566573"/>
          <w:sz w:val="22"/>
          <w:szCs w:val="22"/>
        </w:rPr>
        <w:t xml:space="preserve">G-07 — Missing Security Headers</w:t>
      </w:r>
    </w:p>
    <w:p>
      <w:pPr>
        <w:spacing w:after="80" w:before="0"/>
      </w:pPr>
      <w:r>
        <w:rPr>
          <w:rFonts w:ascii="Arial" w:cs="Arial" w:eastAsia="Arial" w:hAnsi="Arial"/>
          <w:sz w:val="20"/>
          <w:szCs w:val="20"/>
        </w:rPr>
        <w:t xml:space="preserve">Without X-Frame-Options or a CSP frame-ancestors directive, the admin panel can be embedded in an iframe on an attacker-controlled page, enabling clickjacking attacks against admin users. This is particularly important for an admin interface that performs destructive actions (delete user, adjust credits).</w:t>
      </w:r>
    </w:p>
    <w:p>
      <w:pPr>
        <w:spacing w:after="120" w:before="0"/>
      </w:pPr>
      <w:r>
        <w:t xml:space="preserve"/>
      </w:r>
    </w:p>
    <w:p>
      <w:r>
        <w:br w:type="page"/>
      </w:r>
    </w:p>
    <w:p>
      <w:pPr>
        <w:pStyle w:val="Heading1"/>
        <w:pBdr>
          <w:bottom w:val="single" w:color="1B4F72" w:sz="4" w:space="4"/>
        </w:pBdr>
        <w:spacing w:after="120" w:before="360"/>
      </w:pPr>
      <w:r>
        <w:rPr>
          <w:rFonts w:ascii="Arial" w:cs="Arial" w:eastAsia="Arial" w:hAnsi="Arial"/>
          <w:b/>
          <w:bCs/>
          <w:color w:val="1B4F72"/>
          <w:sz w:val="32"/>
          <w:szCs w:val="32"/>
        </w:rPr>
        <w:t xml:space="preserve">3. Credit System Audit</w:t>
      </w:r>
    </w:p>
    <w:p>
      <w:pPr>
        <w:spacing w:after="80" w:before="0"/>
      </w:pPr>
      <w:r>
        <w:rPr>
          <w:rFonts w:ascii="Arial" w:cs="Arial" w:eastAsia="Arial" w:hAnsi="Arial"/>
          <w:sz w:val="20"/>
          <w:szCs w:val="20"/>
        </w:rPr>
        <w:t xml:space="preserve">The credit system architecture is fundamentally sound. The following strengths were identified before presenting issues.</w:t>
      </w:r>
    </w:p>
    <w:p>
      <w:pPr>
        <w:spacing w:after="120" w:before="0"/>
      </w:pPr>
      <w:r>
        <w:t xml:space="preserve"/>
      </w:r>
    </w:p>
    <w:p>
      <w:pPr>
        <w:pStyle w:val="Heading2"/>
        <w:spacing w:after="80" w:before="280"/>
      </w:pPr>
      <w:r>
        <w:rPr>
          <w:rFonts w:ascii="Arial" w:cs="Arial" w:eastAsia="Arial" w:hAnsi="Arial"/>
          <w:b/>
          <w:bCs/>
          <w:color w:val="1B4F72"/>
          <w:sz w:val="26"/>
          <w:szCs w:val="26"/>
        </w:rPr>
        <w:t xml:space="preserve">3.1 Strengths</w:t>
      </w:r>
    </w:p>
    <w:p>
      <w:pPr>
        <w:pStyle w:val="ListParagraph"/>
        <w:numPr>
          <w:ilvl w:val="0"/>
          <w:numId w:val="2"/>
        </w:numPr>
        <w:spacing w:after="40" w:before="0"/>
      </w:pPr>
      <w:r>
        <w:rPr>
          <w:rFonts w:ascii="Arial" w:cs="Arial" w:eastAsia="Arial" w:hAnsi="Arial"/>
          <w:sz w:val="20"/>
          <w:szCs w:val="20"/>
        </w:rPr>
        <w:t xml:space="preserve">SELECT FOR UPDATE row lock in deduct_credits prevents concurrent double-spend race conditions.</w:t>
      </w:r>
    </w:p>
    <w:p>
      <w:pPr>
        <w:pStyle w:val="ListParagraph"/>
        <w:numPr>
          <w:ilvl w:val="0"/>
          <w:numId w:val="2"/>
        </w:numPr>
        <w:spacing w:after="40" w:before="0"/>
      </w:pPr>
      <w:r>
        <w:rPr>
          <w:rFonts w:ascii="Arial" w:cs="Arial" w:eastAsia="Arial" w:hAnsi="Arial"/>
          <w:sz w:val="20"/>
          <w:szCs w:val="20"/>
        </w:rPr>
        <w:t xml:space="preserve">Unique index on credit_transactions(stripe_payment_id) combined with the idempotency check in add_credits prevents webhook replay attacks from double-crediting a user.</w:t>
      </w:r>
    </w:p>
    <w:p>
      <w:pPr>
        <w:pStyle w:val="ListParagraph"/>
        <w:numPr>
          <w:ilvl w:val="0"/>
          <w:numId w:val="2"/>
        </w:numPr>
        <w:spacing w:after="40" w:before="0"/>
      </w:pPr>
      <w:r>
        <w:rPr>
          <w:rFonts w:ascii="Arial" w:cs="Arial" w:eastAsia="Arial" w:hAnsi="Arial"/>
          <w:sz w:val="20"/>
          <w:szCs w:val="20"/>
        </w:rPr>
        <w:t xml:space="preserve">The credit_transactions table is designed as an immutable append-only ledger — rows are never updated or deleted.</w:t>
      </w:r>
    </w:p>
    <w:p>
      <w:pPr>
        <w:pStyle w:val="ListParagraph"/>
        <w:numPr>
          <w:ilvl w:val="0"/>
          <w:numId w:val="2"/>
        </w:numPr>
        <w:spacing w:after="40" w:before="0"/>
      </w:pPr>
      <w:r>
        <w:rPr>
          <w:rFonts w:ascii="Arial" w:cs="Arial" w:eastAsia="Arial" w:hAnsi="Arial"/>
          <w:sz w:val="20"/>
          <w:szCs w:val="20"/>
        </w:rPr>
        <w:t xml:space="preserve">The check (credit_balance &gt;= 0) constraint on profiles prevents the balance going negative at the database level, even if the application logic fails.</w:t>
      </w:r>
    </w:p>
    <w:p>
      <w:pPr>
        <w:pStyle w:val="ListParagraph"/>
        <w:numPr>
          <w:ilvl w:val="0"/>
          <w:numId w:val="2"/>
        </w:numPr>
        <w:spacing w:after="40" w:before="0"/>
      </w:pPr>
      <w:r>
        <w:rPr>
          <w:rFonts w:ascii="Arial" w:cs="Arial" w:eastAsia="Arial" w:hAnsi="Arial"/>
          <w:sz w:val="20"/>
          <w:szCs w:val="20"/>
        </w:rPr>
        <w:t xml:space="preserve">Credits are looked up from the server-side operation_costs table — clients cannot specify an arbitrary cost.</w:t>
      </w:r>
    </w:p>
    <w:p>
      <w:pPr>
        <w:spacing w:after="240" w:before="0"/>
      </w:pPr>
      <w:r>
        <w:t xml:space="preserve"/>
      </w:r>
    </w:p>
    <w:p>
      <w:pPr>
        <w:pStyle w:val="Heading2"/>
        <w:spacing w:after="80" w:before="280"/>
      </w:pPr>
      <w:r>
        <w:rPr>
          <w:rFonts w:ascii="Arial" w:cs="Arial" w:eastAsia="Arial" w:hAnsi="Arial"/>
          <w:b/>
          <w:bCs/>
          <w:color w:val="1B4F72"/>
          <w:sz w:val="26"/>
          <w:szCs w:val="26"/>
        </w:rPr>
        <w:t xml:space="preserve">3.2 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200"/>
        <w:gridCol w:w="1860"/>
        <w:gridCol w:w="3400"/>
      </w:tblGrid>
      <w:tr>
        <w:trPr>
          <w:tblHeader/>
        </w:trPr>
        <w:tc>
          <w:tcPr>
            <w:tcW w:type="dxa" w:w="7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Ref</w:t>
            </w:r>
          </w:p>
        </w:tc>
        <w:tc>
          <w:tcPr>
            <w:tcW w:type="dxa" w:w="12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22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Issue</w:t>
            </w:r>
          </w:p>
        </w:tc>
        <w:tc>
          <w:tcPr>
            <w:tcW w:type="dxa" w:w="186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34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Recommended Fix</w:t>
            </w:r>
          </w:p>
        </w:tc>
      </w:tr>
      <w:tr>
        <w:tc>
          <w:tcPr>
            <w:tcW w:type="dxa" w:w="7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C-01</w:t>
            </w:r>
          </w:p>
        </w:tc>
        <w:tc>
          <w:tcPr>
            <w:tcW w:type="dxa" w:w="14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consumeCredits() returns true (allow) when the Supabase client is null. If Supabase fails to initialise for any reason, all credit-gated operations proceed for free.</w:t>
            </w:r>
          </w:p>
        </w:tc>
        <w:tc>
          <w:tcPr>
            <w:tcW w:type="dxa" w:w="18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index.html:4076</w:t>
            </w:r>
          </w:p>
        </w:tc>
        <w:tc>
          <w:tcPr>
            <w:tcW w:type="dxa" w:w="34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Change the fallback to return false and display an error. Credit gates must default-deny, not default-allow. Consider throwing an error or redirecting to a reload prompt.</w:t>
            </w:r>
          </w:p>
        </w:tc>
      </w:tr>
      <w:tr>
        <w:tc>
          <w:tcPr>
            <w:tcW w:type="dxa" w:w="7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C-02</w:t>
            </w:r>
          </w:p>
        </w:tc>
        <w:tc>
          <w:tcPr>
            <w:tcW w:type="dxa" w:w="14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2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gift_credits SQL function declares variable v_admin_email as type text, but the SELECT INTO assigns a boolean (is_admin). This causes a runtime type mismatch error, making the admin credit-gifting feature non-functional.</w:t>
            </w:r>
          </w:p>
        </w:tc>
        <w:tc>
          <w:tcPr>
            <w:tcW w:type="dxa" w:w="18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supabase-admin-patch.sql:gift_credits(), line: declare v_admin_email text</w:t>
            </w:r>
          </w:p>
        </w:tc>
        <w:tc>
          <w:tcPr>
            <w:tcW w:type="dxa" w:w="34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Change the declaration to v_is_admin boolean. The admin check should also use IF NOT v_is_admin THEN RAISE... rather than relying on STRICT (which throws "no rows found" rather than "not admin").</w:t>
            </w:r>
          </w:p>
        </w:tc>
      </w:tr>
      <w:tr>
        <w:tc>
          <w:tcPr>
            <w:tcW w:type="dxa" w:w="7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C-03</w:t>
            </w:r>
          </w:p>
        </w:tc>
        <w:tc>
          <w:tcPr>
            <w:tcW w:type="dxa" w:w="14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parseInt(credits) in the Stripe webhook handler has no bounds checking. A corrupted or manipulated metadata value could result in crediting 0 or an astronomically large number of credits.</w:t>
            </w:r>
          </w:p>
        </w:tc>
        <w:tc>
          <w:tcPr>
            <w:tcW w:type="dxa" w:w="186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api/stripe/webhook.js:47</w:t>
            </w:r>
          </w:p>
        </w:tc>
        <w:tc>
          <w:tcPr>
            <w:tcW w:type="dxa" w:w="34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Add validation: const creditsInt = parseInt(credits, 10); if (isNaN(creditsInt) || creditsInt &lt;= 0 || creditsInt &gt; 10000) { log error and return 400 }. Cross-check against the credit_packages table using the package_id from metadata.</w:t>
            </w:r>
          </w:p>
        </w:tc>
      </w:tr>
      <w:tr>
        <w:tc>
          <w:tcPr>
            <w:tcW w:type="dxa" w:w="7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C-04</w:t>
            </w:r>
          </w:p>
        </w:tc>
        <w:tc>
          <w:tcPr>
            <w:tcW w:type="dxa" w:w="14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2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The deduct_credits source field is hardcoded as "user_purchase" for all user-initiated deductions. This is semantically incorrect (user_purchase implies buying, not spending) and makes audit queries confusing.</w:t>
            </w:r>
          </w:p>
        </w:tc>
        <w:tc>
          <w:tcPr>
            <w:tcW w:type="dxa" w:w="186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supabase-schema.sql:deduct_credits(), line 90</w:t>
            </w:r>
          </w:p>
        </w:tc>
        <w:tc>
          <w:tcPr>
            <w:tcW w:type="dxa" w:w="34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Change source to "user_spend" or "operation" in deduct_credits, and reserve "user_purchase" for the add_credits transaction. Update the source CHECK constraint accordingly.</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C-05</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Credit transactions do not record IP address or user agent. This limits fraud investigation capability if a user claims credits were consumed without their knowledge.</w:t>
            </w:r>
          </w:p>
        </w:tc>
        <w:tc>
          <w:tcPr>
            <w:tcW w:type="dxa" w:w="18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supabase-schema.sql:credit_transactions table</w:t>
            </w:r>
          </w:p>
        </w:tc>
        <w:tc>
          <w:tcPr>
            <w:tcW w:type="dxa" w:w="34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Add an optional ip_address inet column and user_agent text column to credit_transactions. Populate from req.headers in consume.js (extract IP from x-forwarded-for).</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C-06</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2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The deduct_credits DB function uses a hardcoded description mapping (CASE statement). Adding a new operation requires a schema change.</w:t>
            </w:r>
          </w:p>
        </w:tc>
        <w:tc>
          <w:tcPr>
            <w:tcW w:type="dxa" w:w="18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supabase-schema.sql:deduct_credits(), line 85</w:t>
            </w:r>
          </w:p>
        </w:tc>
        <w:tc>
          <w:tcPr>
            <w:tcW w:type="dxa" w:w="34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Pass the description as a parameter (p_description text) from the API layer, which already has access to the operation_costs.label value from its lookup query.</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C-07</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2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Client-side credit balance (_creditBalance) is a stale in-memory cache. If the user has the app open in two tabs simultaneously, one tab will show an incorrect balance after the other consumes credits.</w:t>
            </w:r>
          </w:p>
        </w:tc>
        <w:tc>
          <w:tcPr>
            <w:tcW w:type="dxa" w:w="1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index.html:3661</w:t>
            </w:r>
          </w:p>
        </w:tc>
        <w:tc>
          <w:tcPr>
            <w:tcW w:type="dxa" w:w="34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Subscribe to Supabase realtime on the profiles row to push balance updates, or re-fetch the balance from the profiles table on each page focus event (document.addEventListener("visibilitychange")).</w:t>
            </w:r>
          </w:p>
        </w:tc>
      </w:tr>
    </w:tbl>
    <w:p>
      <w:pPr>
        <w:spacing w:after="240" w:before="0"/>
      </w:pPr>
      <w:r>
        <w:t xml:space="preserve"/>
      </w:r>
    </w:p>
    <w:p>
      <w:pPr>
        <w:pStyle w:val="Heading2"/>
        <w:spacing w:after="80" w:before="280"/>
      </w:pPr>
      <w:r>
        <w:rPr>
          <w:rFonts w:ascii="Arial" w:cs="Arial" w:eastAsia="Arial" w:hAnsi="Arial"/>
          <w:b/>
          <w:bCs/>
          <w:color w:val="1B4F72"/>
          <w:sz w:val="26"/>
          <w:szCs w:val="26"/>
        </w:rPr>
        <w:t xml:space="preserve">3.3 Detailed Notes</w:t>
      </w:r>
    </w:p>
    <w:p>
      <w:pPr>
        <w:pStyle w:val="Heading3"/>
        <w:spacing w:after="60" w:before="200"/>
      </w:pPr>
      <w:r>
        <w:rPr>
          <w:rFonts w:ascii="Arial" w:cs="Arial" w:eastAsia="Arial" w:hAnsi="Arial"/>
          <w:b/>
          <w:bCs/>
          <w:color w:val="566573"/>
          <w:sz w:val="22"/>
          <w:szCs w:val="22"/>
        </w:rPr>
        <w:t xml:space="preserve">C-01 — Fail-Open Credit Gate (Critical)</w:t>
      </w:r>
    </w:p>
    <w:p>
      <w:pPr>
        <w:spacing w:after="80" w:before="0"/>
      </w:pPr>
      <w:r>
        <w:rPr>
          <w:rFonts w:ascii="Arial" w:cs="Arial" w:eastAsia="Arial" w:hAnsi="Arial"/>
          <w:sz w:val="20"/>
          <w:szCs w:val="20"/>
        </w:rPr>
        <w:t xml:space="preserve">The relevant code is:</w:t>
      </w:r>
    </w:p>
    <w:p>
      <w:pPr>
        <w:shd w:fill="F2F3F4" w:val="clear"/>
        <w:spacing w:after="0" w:before="0"/>
        <w:ind w:left="360"/>
      </w:pPr>
      <w:r>
        <w:rPr>
          <w:rFonts w:ascii="Courier New" w:cs="Courier New" w:eastAsia="Courier New" w:hAnsi="Courier New"/>
          <w:color w:val="566573"/>
          <w:sz w:val="18"/>
          <w:szCs w:val="18"/>
        </w:rPr>
        <w:t xml:space="preserve">window.consumeCredits = async function(operation, projectId) {</w:t>
      </w:r>
    </w:p>
    <w:p>
      <w:pPr>
        <w:shd w:fill="F2F3F4" w:val="clear"/>
        <w:spacing w:after="0" w:before="0"/>
        <w:ind w:left="360"/>
      </w:pPr>
      <w:r>
        <w:rPr>
          <w:rFonts w:ascii="Courier New" w:cs="Courier New" w:eastAsia="Courier New" w:hAnsi="Courier New"/>
          <w:color w:val="C0392B"/>
          <w:sz w:val="18"/>
          <w:szCs w:val="18"/>
        </w:rPr>
        <w:t xml:space="preserve">  if (!_sb || !_currentUser) return true; // offline / dev mode — allow</w:t>
      </w:r>
    </w:p>
    <w:p>
      <w:pPr>
        <w:spacing w:after="120" w:before="0"/>
      </w:pPr>
      <w:r>
        <w:t xml:space="preserve"/>
      </w:r>
    </w:p>
    <w:p>
      <w:pPr>
        <w:spacing w:after="80" w:before="0"/>
      </w:pPr>
      <w:r>
        <w:rPr>
          <w:rFonts w:ascii="Arial" w:cs="Arial" w:eastAsia="Arial" w:hAnsi="Arial"/>
          <w:sz w:val="20"/>
          <w:szCs w:val="20"/>
        </w:rPr>
        <w:t xml:space="preserve">The comment "offline / dev mode — allow" is a significant red flag. Dev-mode shortcuts should never reach production. The correct pattern is to check the environment and throw in production if the client is missing, or to gate all credit-consuming UI behind an auth check that runs before the Supabase client is needed.</w:t>
      </w:r>
    </w:p>
    <w:p>
      <w:pPr>
        <w:pStyle w:val="Heading3"/>
        <w:spacing w:after="60" w:before="200"/>
      </w:pPr>
      <w:r>
        <w:rPr>
          <w:rFonts w:ascii="Arial" w:cs="Arial" w:eastAsia="Arial" w:hAnsi="Arial"/>
          <w:b/>
          <w:bCs/>
          <w:color w:val="566573"/>
          <w:sz w:val="22"/>
          <w:szCs w:val="22"/>
        </w:rPr>
        <w:t xml:space="preserve">C-02 — gift_credits Type Mismatch (Critical)</w:t>
      </w:r>
    </w:p>
    <w:p>
      <w:pPr>
        <w:spacing w:after="80" w:before="0"/>
      </w:pPr>
      <w:r>
        <w:rPr>
          <w:rFonts w:ascii="Arial" w:cs="Arial" w:eastAsia="Arial" w:hAnsi="Arial"/>
          <w:sz w:val="20"/>
          <w:szCs w:val="20"/>
        </w:rPr>
        <w:t xml:space="preserve">In supabase-admin-patch.sql, the function declares: declare v_admin_email text;, then executes: select is_admin into strict v_admin_email from public.profiles where id = p_admin_id and is_admin = true. PostgreSQL will attempt to cast the boolean is_admin column into the text variable. While PostgreSQL can implicitly cast boolean to text in some contexts, using STRICT means any unexpected result raises an exception. More importantly, if the admin check is intended as a security gate, a type mismatch silently bypassing it would be dangerous. The fix is straightforward: rename the variable and use correct types.</w:t>
      </w:r>
    </w:p>
    <w:p>
      <w:pPr>
        <w:pStyle w:val="Heading3"/>
        <w:spacing w:after="60" w:before="200"/>
      </w:pPr>
      <w:r>
        <w:rPr>
          <w:rFonts w:ascii="Arial" w:cs="Arial" w:eastAsia="Arial" w:hAnsi="Arial"/>
          <w:b/>
          <w:bCs/>
          <w:color w:val="566573"/>
          <w:sz w:val="22"/>
          <w:szCs w:val="22"/>
        </w:rPr>
        <w:t xml:space="preserve">C-03 — Webhook Metadata Validation</w:t>
      </w:r>
    </w:p>
    <w:p>
      <w:pPr>
        <w:spacing w:after="80" w:before="0"/>
      </w:pPr>
      <w:r>
        <w:rPr>
          <w:rFonts w:ascii="Arial" w:cs="Arial" w:eastAsia="Arial" w:hAnsi="Arial"/>
          <w:sz w:val="20"/>
          <w:szCs w:val="20"/>
        </w:rPr>
        <w:t xml:space="preserve">The credits value in Stripe session metadata is set by your own server in checkout.js (pkg.credits from the database), so it cannot be manipulated by end users through normal flows. However, if a Stripe dashboard user or an insider with API access creates a crafted checkout session, the webhook would process whatever credits value is in metadata without cross-checking the package. Adding a server-side lookup of the package_id from metadata and comparing its credits value provides defence in depth.</w:t>
      </w:r>
    </w:p>
    <w:p>
      <w:pPr>
        <w:spacing w:after="120" w:before="0"/>
      </w:pPr>
      <w:r>
        <w:t xml:space="preserve"/>
      </w:r>
    </w:p>
    <w:p>
      <w:r>
        <w:br w:type="page"/>
      </w:r>
    </w:p>
    <w:p>
      <w:pPr>
        <w:pStyle w:val="Heading1"/>
        <w:pBdr>
          <w:bottom w:val="single" w:color="1B4F72" w:sz="4" w:space="4"/>
        </w:pBdr>
        <w:spacing w:after="120" w:before="360"/>
      </w:pPr>
      <w:r>
        <w:rPr>
          <w:rFonts w:ascii="Arial" w:cs="Arial" w:eastAsia="Arial" w:hAnsi="Arial"/>
          <w:b/>
          <w:bCs/>
          <w:color w:val="1B4F72"/>
          <w:sz w:val="32"/>
          <w:szCs w:val="32"/>
        </w:rPr>
        <w:t xml:space="preserve">4. Company / Multi-User Architecture Assessment</w:t>
      </w:r>
    </w:p>
    <w:p>
      <w:pPr>
        <w:pStyle w:val="Heading2"/>
        <w:spacing w:after="80" w:before="280"/>
      </w:pPr>
      <w:r>
        <w:rPr>
          <w:rFonts w:ascii="Arial" w:cs="Arial" w:eastAsia="Arial" w:hAnsi="Arial"/>
          <w:b/>
          <w:bCs/>
          <w:color w:val="1B4F72"/>
          <w:sz w:val="26"/>
          <w:szCs w:val="26"/>
        </w:rPr>
        <w:t xml:space="preserve">4.1 Current State</w:t>
      </w:r>
    </w:p>
    <w:p>
      <w:pPr>
        <w:spacing w:after="80" w:before="0"/>
      </w:pPr>
      <w:r>
        <w:rPr>
          <w:rFonts w:ascii="Arial" w:cs="Arial" w:eastAsia="Arial" w:hAnsi="Arial"/>
          <w:sz w:val="20"/>
          <w:szCs w:val="20"/>
        </w:rPr>
        <w:t xml:space="preserve">The current data model has no concept of a company as a first-class entity. The company_name column on profiles is a freeform text field with no foreign key relationship, no uniqueness constraint, and no linkage between users who share the same company name. This means:</w:t>
      </w:r>
    </w:p>
    <w:p>
      <w:pPr>
        <w:pStyle w:val="ListParagraph"/>
        <w:numPr>
          <w:ilvl w:val="0"/>
          <w:numId w:val="2"/>
        </w:numPr>
        <w:spacing w:after="40" w:before="0"/>
      </w:pPr>
      <w:r>
        <w:rPr>
          <w:rFonts w:ascii="Arial" w:cs="Arial" w:eastAsia="Arial" w:hAnsi="Arial"/>
          <w:sz w:val="20"/>
          <w:szCs w:val="20"/>
        </w:rPr>
        <w:t xml:space="preserve">There is no shared credit pool — every user has their own isolated credit_balance.</w:t>
      </w:r>
    </w:p>
    <w:p>
      <w:pPr>
        <w:pStyle w:val="ListParagraph"/>
        <w:numPr>
          <w:ilvl w:val="0"/>
          <w:numId w:val="2"/>
        </w:numPr>
        <w:spacing w:after="40" w:before="0"/>
      </w:pPr>
      <w:r>
        <w:rPr>
          <w:rFonts w:ascii="Arial" w:cs="Arial" w:eastAsia="Arial" w:hAnsi="Arial"/>
          <w:sz w:val="20"/>
          <w:szCs w:val="20"/>
        </w:rPr>
        <w:t xml:space="preserve">There is no company-level billing: each user must purchase credits individually.</w:t>
      </w:r>
    </w:p>
    <w:p>
      <w:pPr>
        <w:pStyle w:val="ListParagraph"/>
        <w:numPr>
          <w:ilvl w:val="0"/>
          <w:numId w:val="2"/>
        </w:numPr>
        <w:spacing w:after="40" w:before="0"/>
      </w:pPr>
      <w:r>
        <w:rPr>
          <w:rFonts w:ascii="Arial" w:cs="Arial" w:eastAsia="Arial" w:hAnsi="Arial"/>
          <w:sz w:val="20"/>
          <w:szCs w:val="20"/>
        </w:rPr>
        <w:t xml:space="preserve">There are no company-level roles (owner, admin, member) — only a global is_admin flag that grants access to the application-wide admin panel.</w:t>
      </w:r>
    </w:p>
    <w:p>
      <w:pPr>
        <w:pStyle w:val="ListParagraph"/>
        <w:numPr>
          <w:ilvl w:val="0"/>
          <w:numId w:val="2"/>
        </w:numPr>
        <w:spacing w:after="40" w:before="0"/>
      </w:pPr>
      <w:r>
        <w:rPr>
          <w:rFonts w:ascii="Arial" w:cs="Arial" w:eastAsia="Arial" w:hAnsi="Arial"/>
          <w:sz w:val="20"/>
          <w:szCs w:val="20"/>
        </w:rPr>
        <w:t xml:space="preserve">Users cannot see each other's projects, credits, or activity within the same organisation.</w:t>
      </w:r>
    </w:p>
    <w:p>
      <w:pPr>
        <w:pStyle w:val="ListParagraph"/>
        <w:numPr>
          <w:ilvl w:val="0"/>
          <w:numId w:val="2"/>
        </w:numPr>
        <w:spacing w:after="40" w:before="0"/>
      </w:pPr>
      <w:r>
        <w:rPr>
          <w:rFonts w:ascii="Arial" w:cs="Arial" w:eastAsia="Arial" w:hAnsi="Arial"/>
          <w:sz w:val="20"/>
          <w:szCs w:val="20"/>
        </w:rPr>
        <w:t xml:space="preserve">A "company admin" concept does not exist: there is no way to delegate user management within a company without granting full platform-admin access.</w:t>
      </w:r>
    </w:p>
    <w:p>
      <w:pPr>
        <w:spacing w:after="120" w:before="0"/>
      </w:pPr>
      <w:r>
        <w:t xml:space="preserve"/>
      </w:r>
    </w:p>
    <w:p>
      <w:pPr>
        <w:pStyle w:val="Heading2"/>
        <w:spacing w:after="80" w:before="280"/>
      </w:pPr>
      <w:r>
        <w:rPr>
          <w:rFonts w:ascii="Arial" w:cs="Arial" w:eastAsia="Arial" w:hAnsi="Arial"/>
          <w:b/>
          <w:bCs/>
          <w:color w:val="1B4F72"/>
          <w:sz w:val="26"/>
          <w:szCs w:val="26"/>
        </w:rPr>
        <w:t xml:space="preserve">4.2 Target Architecture</w:t>
      </w:r>
    </w:p>
    <w:p>
      <w:pPr>
        <w:spacing w:after="80" w:before="0"/>
      </w:pPr>
      <w:r>
        <w:rPr>
          <w:rFonts w:ascii="Arial" w:cs="Arial" w:eastAsia="Arial" w:hAnsi="Arial"/>
          <w:sz w:val="20"/>
          <w:szCs w:val="20"/>
        </w:rPr>
        <w:t xml:space="preserve">The following schema additions are recommended to support company accounts with shared credit pools and multi-user management.</w:t>
      </w:r>
    </w:p>
    <w:p>
      <w:pPr>
        <w:spacing w:after="120" w:before="0"/>
      </w:pPr>
      <w:r>
        <w:t xml:space="preserve"/>
      </w:r>
    </w:p>
    <w:p>
      <w:pPr>
        <w:pStyle w:val="Heading3"/>
        <w:spacing w:after="60" w:before="200"/>
      </w:pPr>
      <w:r>
        <w:rPr>
          <w:rFonts w:ascii="Arial" w:cs="Arial" w:eastAsia="Arial" w:hAnsi="Arial"/>
          <w:b/>
          <w:bCs/>
          <w:color w:val="566573"/>
          <w:sz w:val="22"/>
          <w:szCs w:val="22"/>
        </w:rPr>
        <w:t xml:space="preserve">New Table: companies</w:t>
      </w:r>
    </w:p>
    <w:p>
      <w:pPr>
        <w:shd w:fill="F2F3F4" w:val="clear"/>
        <w:spacing w:after="0" w:before="0"/>
        <w:ind w:left="360"/>
      </w:pPr>
      <w:r>
        <w:rPr>
          <w:rFonts w:ascii="Courier New" w:cs="Courier New" w:eastAsia="Courier New" w:hAnsi="Courier New"/>
          <w:sz w:val="17"/>
          <w:szCs w:val="17"/>
        </w:rPr>
        <w:t xml:space="preserve">create table public.companies (</w:t>
      </w:r>
    </w:p>
    <w:p>
      <w:pPr>
        <w:shd w:fill="F2F3F4" w:val="clear"/>
        <w:spacing w:after="0" w:before="0"/>
        <w:ind w:left="360"/>
      </w:pPr>
      <w:r>
        <w:rPr>
          <w:rFonts w:ascii="Courier New" w:cs="Courier New" w:eastAsia="Courier New" w:hAnsi="Courier New"/>
          <w:sz w:val="17"/>
          <w:szCs w:val="17"/>
        </w:rPr>
        <w:t xml:space="preserve">  id             uuid primary key default uuid_generate_v4(),</w:t>
      </w:r>
    </w:p>
    <w:p>
      <w:pPr>
        <w:shd w:fill="F2F3F4" w:val="clear"/>
        <w:spacing w:after="0" w:before="0"/>
        <w:ind w:left="360"/>
      </w:pPr>
      <w:r>
        <w:rPr>
          <w:rFonts w:ascii="Courier New" w:cs="Courier New" w:eastAsia="Courier New" w:hAnsi="Courier New"/>
          <w:sz w:val="17"/>
          <w:szCs w:val="17"/>
        </w:rPr>
        <w:t xml:space="preserve">  name           text not null,</w:t>
      </w:r>
    </w:p>
    <w:p>
      <w:pPr>
        <w:shd w:fill="F2F3F4" w:val="clear"/>
        <w:spacing w:after="0" w:before="0"/>
        <w:ind w:left="360"/>
      </w:pPr>
      <w:r>
        <w:rPr>
          <w:rFonts w:ascii="Courier New" w:cs="Courier New" w:eastAsia="Courier New" w:hAnsi="Courier New"/>
          <w:sz w:val="17"/>
          <w:szCs w:val="17"/>
        </w:rPr>
        <w:t xml:space="preserve">  credit_balance integer not null default 0 check (credit_balance &gt;= 0),</w:t>
      </w:r>
    </w:p>
    <w:p>
      <w:pPr>
        <w:shd w:fill="F2F3F4" w:val="clear"/>
        <w:spacing w:after="0" w:before="0"/>
        <w:ind w:left="360"/>
      </w:pPr>
      <w:r>
        <w:rPr>
          <w:rFonts w:ascii="Courier New" w:cs="Courier New" w:eastAsia="Courier New" w:hAnsi="Courier New"/>
          <w:sz w:val="17"/>
          <w:szCs w:val="17"/>
        </w:rPr>
        <w:t xml:space="preserve">  owner_id       uuid references public.profiles(id),</w:t>
      </w:r>
    </w:p>
    <w:p>
      <w:pPr>
        <w:shd w:fill="F2F3F4" w:val="clear"/>
        <w:spacing w:after="0" w:before="0"/>
        <w:ind w:left="360"/>
      </w:pPr>
      <w:r>
        <w:rPr>
          <w:rFonts w:ascii="Courier New" w:cs="Courier New" w:eastAsia="Courier New" w:hAnsi="Courier New"/>
          <w:sz w:val="17"/>
          <w:szCs w:val="17"/>
        </w:rPr>
        <w:t xml:space="preserve">  billing_email  text,</w:t>
      </w:r>
    </w:p>
    <w:p>
      <w:pPr>
        <w:shd w:fill="F2F3F4" w:val="clear"/>
        <w:spacing w:after="0" w:before="0"/>
        <w:ind w:left="360"/>
      </w:pPr>
      <w:r>
        <w:rPr>
          <w:rFonts w:ascii="Courier New" w:cs="Courier New" w:eastAsia="Courier New" w:hAnsi="Courier New"/>
          <w:sz w:val="17"/>
          <w:szCs w:val="17"/>
        </w:rPr>
        <w:t xml:space="preserve">  created_at     timestamptz not null default now()</w:t>
      </w:r>
    </w:p>
    <w:p>
      <w:pPr>
        <w:shd w:fill="F2F3F4" w:val="clear"/>
        <w:spacing w:after="0" w:before="0"/>
        <w:ind w:left="360"/>
      </w:pPr>
      <w:r>
        <w:rPr>
          <w:rFonts w:ascii="Courier New" w:cs="Courier New" w:eastAsia="Courier New" w:hAnsi="Courier New"/>
          <w:sz w:val="17"/>
          <w:szCs w:val="17"/>
        </w:rPr>
        <w:t xml:space="preserve">);</w:t>
      </w:r>
    </w:p>
    <w:p>
      <w:pPr>
        <w:spacing w:after="120" w:before="0"/>
      </w:pPr>
      <w:r>
        <w:t xml:space="preserve"/>
      </w:r>
    </w:p>
    <w:p>
      <w:pPr>
        <w:pStyle w:val="Heading3"/>
        <w:spacing w:after="60" w:before="200"/>
      </w:pPr>
      <w:r>
        <w:rPr>
          <w:rFonts w:ascii="Arial" w:cs="Arial" w:eastAsia="Arial" w:hAnsi="Arial"/>
          <w:b/>
          <w:bCs/>
          <w:color w:val="566573"/>
          <w:sz w:val="22"/>
          <w:szCs w:val="22"/>
        </w:rPr>
        <w:t xml:space="preserve">Updated Table: profiles (add company_id and role)</w:t>
      </w:r>
    </w:p>
    <w:p>
      <w:pPr>
        <w:shd w:fill="F2F3F4" w:val="clear"/>
        <w:spacing w:after="0" w:before="0"/>
        <w:ind w:left="360"/>
      </w:pPr>
      <w:r>
        <w:rPr>
          <w:rFonts w:ascii="Courier New" w:cs="Courier New" w:eastAsia="Courier New" w:hAnsi="Courier New"/>
          <w:sz w:val="17"/>
          <w:szCs w:val="17"/>
        </w:rPr>
        <w:t xml:space="preserve">alter table public.profiles</w:t>
      </w:r>
    </w:p>
    <w:p>
      <w:pPr>
        <w:shd w:fill="F2F3F4" w:val="clear"/>
        <w:spacing w:after="0" w:before="0"/>
        <w:ind w:left="360"/>
      </w:pPr>
      <w:r>
        <w:rPr>
          <w:rFonts w:ascii="Courier New" w:cs="Courier New" w:eastAsia="Courier New" w:hAnsi="Courier New"/>
          <w:sz w:val="17"/>
          <w:szCs w:val="17"/>
        </w:rPr>
        <w:t xml:space="preserve">  add column company_id uuid references public.companies(id),</w:t>
      </w:r>
    </w:p>
    <w:p>
      <w:pPr>
        <w:shd w:fill="F2F3F4" w:val="clear"/>
        <w:spacing w:after="0" w:before="0"/>
        <w:ind w:left="360"/>
      </w:pPr>
      <w:r>
        <w:rPr>
          <w:rFonts w:ascii="Courier New" w:cs="Courier New" w:eastAsia="Courier New" w:hAnsi="Courier New"/>
          <w:sz w:val="17"/>
          <w:szCs w:val="17"/>
        </w:rPr>
        <w:t xml:space="preserve">  add column company_role text check (company_role in ('owner','admin','member'));</w:t>
      </w:r>
    </w:p>
    <w:p>
      <w:pPr>
        <w:spacing w:after="120" w:before="0"/>
      </w:pPr>
      <w:r>
        <w:t xml:space="preserve"/>
      </w:r>
    </w:p>
    <w:p>
      <w:pPr>
        <w:spacing w:after="80" w:before="0"/>
      </w:pPr>
      <w:r>
        <w:rPr>
          <w:rFonts w:ascii="Arial" w:cs="Arial" w:eastAsia="Arial" w:hAnsi="Arial"/>
          <w:sz w:val="20"/>
          <w:szCs w:val="20"/>
        </w:rPr>
        <w:t xml:space="preserve">The company_name text column on profiles becomes a denormalised display field only. The canonical company name lives in companies.name.</w:t>
      </w:r>
    </w:p>
    <w:p>
      <w:pPr>
        <w:spacing w:after="120" w:before="0"/>
      </w:pPr>
      <w:r>
        <w:t xml:space="preserve"/>
      </w:r>
    </w:p>
    <w:p>
      <w:pPr>
        <w:pStyle w:val="Heading3"/>
        <w:spacing w:after="60" w:before="200"/>
      </w:pPr>
      <w:r>
        <w:rPr>
          <w:rFonts w:ascii="Arial" w:cs="Arial" w:eastAsia="Arial" w:hAnsi="Arial"/>
          <w:b/>
          <w:bCs/>
          <w:color w:val="566573"/>
          <w:sz w:val="22"/>
          <w:szCs w:val="22"/>
        </w:rPr>
        <w:t xml:space="preserve">Updated deduct_credits function — pool-aware</w:t>
      </w:r>
    </w:p>
    <w:p>
      <w:pPr>
        <w:spacing w:after="80" w:before="0"/>
      </w:pPr>
      <w:r>
        <w:rPr>
          <w:rFonts w:ascii="Arial" w:cs="Arial" w:eastAsia="Arial" w:hAnsi="Arial"/>
          <w:sz w:val="20"/>
          <w:szCs w:val="20"/>
        </w:rPr>
        <w:t xml:space="preserve">The deduct_credits function should be extended to support two deduction modes: individual (existing behaviour) and company pool. The calling API determines which mode based on whether the user has a company_id and the company has sufficient balance.</w:t>
      </w:r>
    </w:p>
    <w:p>
      <w:pPr>
        <w:spacing w:after="120" w:before="0"/>
      </w:pPr>
      <w:r>
        <w:t xml:space="preserve"/>
      </w:r>
    </w:p>
    <w:p>
      <w:pPr>
        <w:pStyle w:val="Heading2"/>
        <w:spacing w:after="80" w:before="280"/>
      </w:pPr>
      <w:r>
        <w:rPr>
          <w:rFonts w:ascii="Arial" w:cs="Arial" w:eastAsia="Arial" w:hAnsi="Arial"/>
          <w:b/>
          <w:bCs/>
          <w:color w:val="1B4F72"/>
          <w:sz w:val="26"/>
          <w:szCs w:val="26"/>
        </w:rPr>
        <w:t xml:space="preserve">4.3 Row Level Security Changes</w:t>
      </w:r>
    </w:p>
    <w:p>
      <w:pPr>
        <w:spacing w:after="80" w:before="0"/>
      </w:pPr>
      <w:r>
        <w:rPr>
          <w:rFonts w:ascii="Arial" w:cs="Arial" w:eastAsia="Arial" w:hAnsi="Arial"/>
          <w:sz w:val="20"/>
          <w:szCs w:val="20"/>
        </w:rPr>
        <w:t xml:space="preserve">The following RLS policies are needed to support company-level access:</w:t>
      </w:r>
    </w:p>
    <w:p>
      <w:pPr>
        <w:pStyle w:val="ListParagraph"/>
        <w:numPr>
          <w:ilvl w:val="0"/>
          <w:numId w:val="2"/>
        </w:numPr>
        <w:spacing w:after="40" w:before="0"/>
      </w:pPr>
      <w:r>
        <w:rPr>
          <w:rFonts w:ascii="Arial" w:cs="Arial" w:eastAsia="Arial" w:hAnsi="Arial"/>
          <w:sz w:val="20"/>
          <w:szCs w:val="20"/>
        </w:rPr>
        <w:t xml:space="preserve">Companies table: SELECT/UPDATE for own company (owner or admin role); INSERT via server-side function only.</w:t>
      </w:r>
    </w:p>
    <w:p>
      <w:pPr>
        <w:pStyle w:val="ListParagraph"/>
        <w:numPr>
          <w:ilvl w:val="0"/>
          <w:numId w:val="2"/>
        </w:numPr>
        <w:spacing w:after="40" w:before="0"/>
      </w:pPr>
      <w:r>
        <w:rPr>
          <w:rFonts w:ascii="Arial" w:cs="Arial" w:eastAsia="Arial" w:hAnsi="Arial"/>
          <w:sz w:val="20"/>
          <w:szCs w:val="20"/>
        </w:rPr>
        <w:t xml:space="preserve">Profiles: members of the same company can SELECT each other's profiles (name, email, credit_balance if individual mode).</w:t>
      </w:r>
    </w:p>
    <w:p>
      <w:pPr>
        <w:pStyle w:val="ListParagraph"/>
        <w:numPr>
          <w:ilvl w:val="0"/>
          <w:numId w:val="2"/>
        </w:numPr>
        <w:spacing w:after="40" w:before="0"/>
      </w:pPr>
      <w:r>
        <w:rPr>
          <w:rFonts w:ascii="Arial" w:cs="Arial" w:eastAsia="Arial" w:hAnsi="Arial"/>
          <w:sz w:val="20"/>
          <w:szCs w:val="20"/>
        </w:rPr>
        <w:t xml:space="preserve">Projects: optional — allow company members to view each other's projects (share within org).</w:t>
      </w:r>
    </w:p>
    <w:p>
      <w:pPr>
        <w:pStyle w:val="ListParagraph"/>
        <w:numPr>
          <w:ilvl w:val="0"/>
          <w:numId w:val="2"/>
        </w:numPr>
        <w:spacing w:after="40" w:before="0"/>
      </w:pPr>
      <w:r>
        <w:rPr>
          <w:rFonts w:ascii="Arial" w:cs="Arial" w:eastAsia="Arial" w:hAnsi="Arial"/>
          <w:sz w:val="20"/>
          <w:szCs w:val="20"/>
        </w:rPr>
        <w:t xml:space="preserve">Credit transactions: company admins can SELECT all transactions for members of their company.</w:t>
      </w:r>
    </w:p>
    <w:p>
      <w:pPr>
        <w:spacing w:after="120" w:before="0"/>
      </w:pPr>
      <w:r>
        <w:t xml:space="preserve"/>
      </w:r>
    </w:p>
    <w:p>
      <w:pPr>
        <w:pStyle w:val="Heading2"/>
        <w:spacing w:after="80" w:before="280"/>
      </w:pPr>
      <w:r>
        <w:rPr>
          <w:rFonts w:ascii="Arial" w:cs="Arial" w:eastAsia="Arial" w:hAnsi="Arial"/>
          <w:b/>
          <w:bCs/>
          <w:color w:val="1B4F72"/>
          <w:sz w:val="26"/>
          <w:szCs w:val="26"/>
        </w:rPr>
        <w:t xml:space="preserve">4.4 Migration Path</w:t>
      </w:r>
    </w:p>
    <w:p>
      <w:pPr>
        <w:spacing w:after="80" w:before="0"/>
      </w:pPr>
      <w:r>
        <w:rPr>
          <w:rFonts w:ascii="Arial" w:cs="Arial" w:eastAsia="Arial" w:hAnsi="Arial"/>
          <w:sz w:val="20"/>
          <w:szCs w:val="20"/>
        </w:rPr>
        <w:t xml:space="preserve">Migrating existing users to company accounts should be done in three phases to avoid data loss:</w:t>
      </w:r>
    </w:p>
    <w:p>
      <w:pPr>
        <w:spacing w:after="120" w:before="0"/>
      </w:pPr>
      <w:r>
        <w:t xml:space="preserve"/>
      </w:r>
    </w:p>
    <w:p>
      <w:pPr>
        <w:spacing w:after="60" w:before="0"/>
      </w:pPr>
      <w:r>
        <w:rPr>
          <w:rFonts w:ascii="Arial" w:cs="Arial" w:eastAsia="Arial" w:hAnsi="Arial"/>
          <w:b/>
          <w:bCs/>
          <w:color w:val="1B4F72"/>
          <w:sz w:val="20"/>
          <w:szCs w:val="20"/>
        </w:rPr>
        <w:t xml:space="preserve">Phase 1 — Schema (non-breaking)</w:t>
      </w:r>
    </w:p>
    <w:p>
      <w:pPr>
        <w:spacing w:after="80" w:before="0"/>
      </w:pPr>
      <w:r>
        <w:rPr>
          <w:rFonts w:ascii="Arial" w:cs="Arial" w:eastAsia="Arial" w:hAnsi="Arial"/>
          <w:sz w:val="20"/>
          <w:szCs w:val="20"/>
        </w:rPr>
        <w:t xml:space="preserve">Add companies table and company_id / company_role columns to profiles as nullable. No existing data is changed. Deploy new API routes for company management. This can go live immediately.</w:t>
      </w:r>
    </w:p>
    <w:p>
      <w:pPr>
        <w:spacing w:after="120" w:before="0"/>
      </w:pPr>
      <w:r>
        <w:t xml:space="preserve"/>
      </w:r>
    </w:p>
    <w:p>
      <w:pPr>
        <w:spacing w:after="60" w:before="0"/>
      </w:pPr>
      <w:r>
        <w:rPr>
          <w:rFonts w:ascii="Arial" w:cs="Arial" w:eastAsia="Arial" w:hAnsi="Arial"/>
          <w:b/>
          <w:bCs/>
          <w:color w:val="1B4F72"/>
          <w:sz w:val="20"/>
          <w:szCs w:val="20"/>
        </w:rPr>
        <w:t xml:space="preserve">Phase 2 — Data Migration (admin-driven)</w:t>
      </w:r>
    </w:p>
    <w:p>
      <w:pPr>
        <w:spacing w:after="80" w:before="0"/>
      </w:pPr>
      <w:r>
        <w:rPr>
          <w:rFonts w:ascii="Arial" w:cs="Arial" w:eastAsia="Arial" w:hAnsi="Arial"/>
          <w:sz w:val="20"/>
          <w:szCs w:val="20"/>
        </w:rPr>
        <w:t xml:space="preserve">Run a one-time migration script that: (1) groups existing profiles by company_name where it is non-empty and matches across multiple users, (2) creates a companies row for each group, (3) assigns the earliest-created user as owner, (4) sets company_id on all matching profiles. Single-user "companies" can be migrated at the user's request. Users with no company_name remain individual accounts.</w:t>
      </w:r>
    </w:p>
    <w:p>
      <w:pPr>
        <w:spacing w:after="120" w:before="0"/>
      </w:pPr>
      <w:r>
        <w:t xml:space="preserve"/>
      </w:r>
    </w:p>
    <w:p>
      <w:pPr>
        <w:spacing w:after="60" w:before="0"/>
      </w:pPr>
      <w:r>
        <w:rPr>
          <w:rFonts w:ascii="Arial" w:cs="Arial" w:eastAsia="Arial" w:hAnsi="Arial"/>
          <w:b/>
          <w:bCs/>
          <w:color w:val="1B4F72"/>
          <w:sz w:val="20"/>
          <w:szCs w:val="20"/>
        </w:rPr>
        <w:t xml:space="preserve">Phase 3 — Credit Pool Activation (opt-in)</w:t>
      </w:r>
    </w:p>
    <w:p>
      <w:pPr>
        <w:spacing w:after="80" w:before="0"/>
      </w:pPr>
      <w:r>
        <w:rPr>
          <w:rFonts w:ascii="Arial" w:cs="Arial" w:eastAsia="Arial" w:hAnsi="Arial"/>
          <w:sz w:val="20"/>
          <w:szCs w:val="20"/>
        </w:rPr>
        <w:t xml:space="preserve">Add a companies.pool_credits_enabled boolean flag. When enabled, deduct_credits draws from companies.credit_balance. Company admins can top up the pool via Stripe checkout (metadata includes company_id instead of user_id). Existing individual credit balances remain untouched until the company owner chooses to consolidate them.</w:t>
      </w:r>
    </w:p>
    <w:p>
      <w:pPr>
        <w:spacing w:after="120" w:before="0"/>
      </w:pPr>
      <w:r>
        <w:t xml:space="preserve"/>
      </w:r>
    </w:p>
    <w:p>
      <w:pPr>
        <w:pStyle w:val="Heading2"/>
        <w:spacing w:after="80" w:before="280"/>
      </w:pPr>
      <w:r>
        <w:rPr>
          <w:rFonts w:ascii="Arial" w:cs="Arial" w:eastAsia="Arial" w:hAnsi="Arial"/>
          <w:b/>
          <w:bCs/>
          <w:color w:val="1B4F72"/>
          <w:sz w:val="26"/>
          <w:szCs w:val="26"/>
        </w:rPr>
        <w:t xml:space="preserve">4.5 Architecture Gaps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Feature</w:t>
            </w:r>
          </w:p>
        </w:tc>
        <w:tc>
          <w:tcPr>
            <w:tcW w:type="dxa" w:w="348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Current State</w:t>
            </w:r>
          </w:p>
        </w:tc>
        <w:tc>
          <w:tcPr>
            <w:tcW w:type="dxa" w:w="348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Recommended Change</w:t>
            </w:r>
          </w:p>
        </w:tc>
      </w:tr>
      <w:tr>
        <w:tc>
          <w:tcPr>
            <w:tcW w:type="dxa" w:w="24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Shared credit pool</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Not possible — per-user only</w:t>
            </w:r>
          </w:p>
        </w:tc>
        <w:tc>
          <w:tcPr>
            <w:tcW w:type="dxa" w:w="34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companies.credit_balance + pool flag</w:t>
            </w:r>
          </w:p>
        </w:tc>
      </w:tr>
      <w:tr>
        <w:tc>
          <w:tcPr>
            <w:tcW w:type="dxa" w:w="24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Company-level billing</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Not possible</w:t>
            </w:r>
          </w:p>
        </w:tc>
        <w:tc>
          <w:tcPr>
            <w:tcW w:type="dxa" w:w="34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Stripe checkout with company_id metadata</w:t>
            </w:r>
          </w:p>
        </w:tc>
      </w:tr>
      <w:tr>
        <w:tc>
          <w:tcPr>
            <w:tcW w:type="dxa" w:w="24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Company admin role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Not possible</w:t>
            </w:r>
          </w:p>
        </w:tc>
        <w:tc>
          <w:tcPr>
            <w:tcW w:type="dxa" w:w="34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company_role = 'admin' on profiles</w:t>
            </w:r>
          </w:p>
        </w:tc>
      </w:tr>
      <w:tr>
        <w:tc>
          <w:tcPr>
            <w:tcW w:type="dxa" w:w="24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User invitation to company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Admin invites globally</w:t>
            </w:r>
          </w:p>
        </w:tc>
        <w:tc>
          <w:tcPr>
            <w:tcW w:type="dxa" w:w="34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Company admin invites to own org</w:t>
            </w:r>
          </w:p>
        </w:tc>
      </w:tr>
      <w:tr>
        <w:tc>
          <w:tcPr>
            <w:tcW w:type="dxa" w:w="24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Visibility within org</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No shared visibility</w:t>
            </w:r>
          </w:p>
        </w:tc>
        <w:tc>
          <w:tcPr>
            <w:tcW w:type="dxa" w:w="34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RLS policy on profiles + projects</w:t>
            </w:r>
          </w:p>
        </w:tc>
      </w:tr>
      <w:tr>
        <w:tc>
          <w:tcPr>
            <w:tcW w:type="dxa" w:w="24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Credit allocation per member</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Not possible</w:t>
            </w:r>
          </w:p>
        </w:tc>
        <w:tc>
          <w:tcPr>
            <w:tcW w:type="dxa" w:w="34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Optional member_credit_limit on profiles</w:t>
            </w:r>
          </w:p>
        </w:tc>
      </w:tr>
      <w:tr>
        <w:tc>
          <w:tcPr>
            <w:tcW w:type="dxa" w:w="24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Company credit history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Not possible</w:t>
            </w:r>
          </w:p>
        </w:tc>
        <w:tc>
          <w:tcPr>
            <w:tcW w:type="dxa" w:w="348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Filter transactions by company_id join</w:t>
            </w:r>
          </w:p>
        </w:tc>
      </w:tr>
    </w:tbl>
    <w:p>
      <w:pPr>
        <w:spacing w:after="120" w:before="0"/>
      </w:pPr>
      <w:r>
        <w:t xml:space="preserve"/>
      </w:r>
    </w:p>
    <w:p>
      <w:r>
        <w:br w:type="page"/>
      </w:r>
    </w:p>
    <w:p>
      <w:pPr>
        <w:pStyle w:val="Heading1"/>
        <w:pBdr>
          <w:bottom w:val="single" w:color="1B4F72" w:sz="4" w:space="4"/>
        </w:pBdr>
        <w:spacing w:after="120" w:before="360"/>
      </w:pPr>
      <w:r>
        <w:rPr>
          <w:rFonts w:ascii="Arial" w:cs="Arial" w:eastAsia="Arial" w:hAnsi="Arial"/>
          <w:b/>
          <w:bCs/>
          <w:color w:val="1B4F72"/>
          <w:sz w:val="32"/>
          <w:szCs w:val="32"/>
        </w:rPr>
        <w:t xml:space="preserve">5. Prioritised Action Plan</w:t>
      </w:r>
    </w:p>
    <w:p>
      <w:pPr>
        <w:pStyle w:val="Heading2"/>
        <w:spacing w:after="80" w:before="280"/>
      </w:pPr>
      <w:r>
        <w:rPr>
          <w:rFonts w:ascii="Arial" w:cs="Arial" w:eastAsia="Arial" w:hAnsi="Arial"/>
          <w:b/>
          <w:bCs/>
          <w:color w:val="1B4F72"/>
          <w:sz w:val="26"/>
          <w:szCs w:val="26"/>
        </w:rPr>
        <w:t xml:space="preserve">5.1 Fix Immediately — Before Next User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4200"/>
        <w:gridCol w:w="3260"/>
      </w:tblGrid>
      <w:tr>
        <w:trPr>
          <w:tblHeader/>
        </w:trPr>
        <w:tc>
          <w:tcPr>
            <w:tcW w:type="dxa" w:w="7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Ref</w:t>
            </w:r>
          </w:p>
        </w:tc>
        <w:tc>
          <w:tcPr>
            <w:tcW w:type="dxa" w:w="12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42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326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Effort</w:t>
            </w:r>
          </w:p>
        </w:tc>
      </w:tr>
      <w:tr>
        <w:tc>
          <w:tcPr>
            <w:tcW w:type="dxa" w:w="7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C-01</w:t>
            </w:r>
          </w:p>
        </w:tc>
        <w:tc>
          <w:tcPr>
            <w:tcW w:type="dxa" w:w="14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4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Change consumeCredits() to return false (deny) when Supabase client is null. Remove the "offline mode" bypass.</w:t>
            </w:r>
          </w:p>
        </w:tc>
        <w:tc>
          <w:tcPr>
            <w:tcW w:type="dxa" w:w="32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30 min</w:t>
            </w:r>
          </w:p>
        </w:tc>
      </w:tr>
      <w:tr>
        <w:tc>
          <w:tcPr>
            <w:tcW w:type="dxa" w:w="7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C-02</w:t>
            </w:r>
          </w:p>
        </w:tc>
        <w:tc>
          <w:tcPr>
            <w:tcW w:type="dxa" w:w="14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4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Fix gift_credits SQL function: rename v_admin_email to v_is_admin boolean. Test via admin panel.</w:t>
            </w:r>
          </w:p>
        </w:tc>
        <w:tc>
          <w:tcPr>
            <w:tcW w:type="dxa" w:w="32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20 min</w:t>
            </w:r>
          </w:p>
        </w:tc>
      </w:tr>
      <w:tr>
        <w:tc>
          <w:tcPr>
            <w:tcW w:type="dxa" w:w="7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G-01</w:t>
            </w:r>
          </w:p>
        </w:tc>
        <w:tc>
          <w:tcPr>
            <w:tcW w:type="dxa" w:w="14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4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Rotate Vercel OIDC token. Run git rm --cached .env.local. Audit git history for other secrets.</w:t>
            </w:r>
          </w:p>
        </w:tc>
        <w:tc>
          <w:tcPr>
            <w:tcW w:type="dxa" w:w="32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1 hour</w:t>
            </w:r>
          </w:p>
        </w:tc>
      </w:tr>
      <w:tr>
        <w:tc>
          <w:tcPr>
            <w:tcW w:type="dxa" w:w="7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G-02</w:t>
            </w:r>
          </w:p>
        </w:tc>
        <w:tc>
          <w:tcPr>
            <w:tcW w:type="dxa" w:w="14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4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Restrict CORS to hiper-studio.au origin in vercel.json.</w:t>
            </w:r>
          </w:p>
        </w:tc>
        <w:tc>
          <w:tcPr>
            <w:tcW w:type="dxa" w:w="326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15 min</w:t>
            </w:r>
          </w:p>
        </w:tc>
      </w:tr>
      <w:tr>
        <w:tc>
          <w:tcPr>
            <w:tcW w:type="dxa" w:w="7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G-04</w:t>
            </w:r>
          </w:p>
        </w:tc>
        <w:tc>
          <w:tcPr>
            <w:tcW w:type="dxa" w:w="14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4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Move must_change_password enforcement to a server-side middleware check in the API.</w:t>
            </w:r>
          </w:p>
        </w:tc>
        <w:tc>
          <w:tcPr>
            <w:tcW w:type="dxa" w:w="326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2 hours</w:t>
            </w:r>
          </w:p>
        </w:tc>
      </w:tr>
    </w:tbl>
    <w:p>
      <w:pPr>
        <w:spacing w:after="240" w:before="0"/>
      </w:pPr>
      <w:r>
        <w:t xml:space="preserve"/>
      </w:r>
    </w:p>
    <w:p>
      <w:pPr>
        <w:pStyle w:val="Heading2"/>
        <w:spacing w:after="80" w:before="280"/>
      </w:pPr>
      <w:r>
        <w:rPr>
          <w:rFonts w:ascii="Arial" w:cs="Arial" w:eastAsia="Arial" w:hAnsi="Arial"/>
          <w:b/>
          <w:bCs/>
          <w:color w:val="1B4F72"/>
          <w:sz w:val="26"/>
          <w:szCs w:val="26"/>
        </w:rPr>
        <w:t xml:space="preserve">5.2 Fix in Current Sprint — Within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4200"/>
        <w:gridCol w:w="3260"/>
      </w:tblGrid>
      <w:tr>
        <w:trPr>
          <w:tblHeader/>
        </w:trPr>
        <w:tc>
          <w:tcPr>
            <w:tcW w:type="dxa" w:w="7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Ref</w:t>
            </w:r>
          </w:p>
        </w:tc>
        <w:tc>
          <w:tcPr>
            <w:tcW w:type="dxa" w:w="12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42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326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Effort</w:t>
            </w:r>
          </w:p>
        </w:tc>
      </w:tr>
      <w:tr>
        <w:tc>
          <w:tcPr>
            <w:tcW w:type="dxa" w:w="7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C-03</w:t>
            </w:r>
          </w:p>
        </w:tc>
        <w:tc>
          <w:tcPr>
            <w:tcW w:type="dxa" w:w="14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4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Add bounds validation on parseInt(credits) in webhook.js. Cross-check against credit_packages table using package_id.</w:t>
            </w:r>
          </w:p>
        </w:tc>
        <w:tc>
          <w:tcPr>
            <w:tcW w:type="dxa" w:w="326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1 hour</w:t>
            </w:r>
          </w:p>
        </w:tc>
      </w:tr>
      <w:tr>
        <w:tc>
          <w:tcPr>
            <w:tcW w:type="dxa" w:w="7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C-04</w:t>
            </w:r>
          </w:p>
        </w:tc>
        <w:tc>
          <w:tcPr>
            <w:tcW w:type="dxa" w:w="14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4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Rename source value in deduct_credits from "user_purchase" to "user_spend". Update CHECK constraint.</w:t>
            </w:r>
          </w:p>
        </w:tc>
        <w:tc>
          <w:tcPr>
            <w:tcW w:type="dxa" w:w="326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30 min</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G-05</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4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Add rate limiting to /api/admin/invite-user, /api/admin/reset-password, and /api/credits/consume.</w:t>
            </w:r>
          </w:p>
        </w:tc>
        <w:tc>
          <w:tcPr>
            <w:tcW w:type="dxa" w:w="32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3 hours</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G-06</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4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Fix resend invite redirect URL in cancel-invite.js to derive origin from request headers.</w:t>
            </w:r>
          </w:p>
        </w:tc>
        <w:tc>
          <w:tcPr>
            <w:tcW w:type="dxa" w:w="32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15 min</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G-07</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4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Add security headers (CSP, X-Frame-Options, HSTS, X-Content-Type-Options) to vercel.json.</w:t>
            </w:r>
          </w:p>
        </w:tc>
        <w:tc>
          <w:tcPr>
            <w:tcW w:type="dxa" w:w="32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1 hour</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C-05</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4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Add ip_address column to credit_transactions. Populate from x-forwarded-for in consume.js.</w:t>
            </w:r>
          </w:p>
        </w:tc>
        <w:tc>
          <w:tcPr>
            <w:tcW w:type="dxa" w:w="32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1 hour</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C-06</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4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Pass description as a parameter to deduct_credits rather than hardcoding it in the SQL CASE.</w:t>
            </w:r>
          </w:p>
        </w:tc>
        <w:tc>
          <w:tcPr>
            <w:tcW w:type="dxa" w:w="32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30 min</w:t>
            </w:r>
          </w:p>
        </w:tc>
      </w:tr>
    </w:tbl>
    <w:p>
      <w:pPr>
        <w:spacing w:after="240" w:before="0"/>
      </w:pPr>
      <w:r>
        <w:t xml:space="preserve"/>
      </w:r>
    </w:p>
    <w:p>
      <w:pPr>
        <w:pStyle w:val="Heading2"/>
        <w:spacing w:after="80" w:before="280"/>
      </w:pPr>
      <w:r>
        <w:rPr>
          <w:rFonts w:ascii="Arial" w:cs="Arial" w:eastAsia="Arial" w:hAnsi="Arial"/>
          <w:b/>
          <w:bCs/>
          <w:color w:val="1B4F72"/>
          <w:sz w:val="26"/>
          <w:szCs w:val="26"/>
        </w:rPr>
        <w:t xml:space="preserve">5.3 Address in Next Development Cycle —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4200"/>
        <w:gridCol w:w="3260"/>
      </w:tblGrid>
      <w:tr>
        <w:trPr>
          <w:tblHeader/>
        </w:trPr>
        <w:tc>
          <w:tcPr>
            <w:tcW w:type="dxa" w:w="7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Ref</w:t>
            </w:r>
          </w:p>
        </w:tc>
        <w:tc>
          <w:tcPr>
            <w:tcW w:type="dxa" w:w="12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Severity</w:t>
            </w:r>
          </w:p>
        </w:tc>
        <w:tc>
          <w:tcPr>
            <w:tcW w:type="dxa" w:w="42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326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8"/>
                <w:szCs w:val="18"/>
              </w:rPr>
              <w:t xml:space="preserve">Effort</w:t>
            </w:r>
          </w:p>
        </w:tc>
      </w:tr>
      <w:tr>
        <w:tc>
          <w:tcPr>
            <w:tcW w:type="dxa" w:w="7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G-08</w:t>
            </w:r>
          </w:p>
        </w:tc>
        <w:tc>
          <w:tcPr>
            <w:tcW w:type="dxa" w:w="1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4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Fix admin_members view: use SECURITY INVOKER or restrict the GRANT to avoid over-broad access.</w:t>
            </w:r>
          </w:p>
        </w:tc>
        <w:tc>
          <w:tcPr>
            <w:tcW w:type="dxa" w:w="326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1 hour</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C-07</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4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Subscribe to Supabase Realtime on profiles to push live credit balance updates to all open tabs.</w:t>
            </w:r>
          </w:p>
        </w:tc>
        <w:tc>
          <w:tcPr>
            <w:tcW w:type="dxa" w:w="32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2 hours</w:t>
            </w:r>
          </w:p>
        </w:tc>
      </w:tr>
      <w:tr>
        <w:tc>
          <w:tcPr>
            <w:tcW w:type="dxa" w:w="7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G-03</w:t>
            </w:r>
          </w:p>
        </w:tc>
        <w:tc>
          <w:tcPr>
            <w:tcW w:type="dxa" w:w="14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420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Move Supabase URL and anon key to build-time environment variables rather than hardcoded strings.</w:t>
            </w:r>
          </w:p>
        </w:tc>
        <w:tc>
          <w:tcPr>
            <w:tcW w:type="dxa" w:w="326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2 hours</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G-09</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4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Add integration tests for credits/consume, stripe/webhook, and admin/gift-credits API routes.</w:t>
            </w:r>
          </w:p>
        </w:tc>
        <w:tc>
          <w:tcPr>
            <w:tcW w:type="dxa" w:w="32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1 day</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G-10</w:t>
            </w:r>
          </w:p>
        </w:tc>
        <w:tc>
          <w:tcPr>
            <w:tcW w:type="dxa" w:w="1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4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Begin migration of index.html to a modular Vite-based build. Prioritise separating auth, credit, and API modules.</w:t>
            </w:r>
          </w:p>
        </w:tc>
        <w:tc>
          <w:tcPr>
            <w:tcW w:type="dxa" w:w="32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1-2 weeks</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bCs/>
                <w:color w:val="000000"/>
                <w:sz w:val="18"/>
                <w:szCs w:val="18"/>
              </w:rPr>
              <w:t xml:space="preserve">ARCH</w:t>
            </w:r>
          </w:p>
        </w:tc>
        <w:tc>
          <w:tcPr>
            <w:tcW w:type="dxa" w:w="1200"/>
            <w:tcBorders>
              <w:top w:val="single" w:color="CCCCCC" w:sz="1"/>
              <w:left w:val="single" w:color="CCCCCC" w:sz="1"/>
              <w:bottom w:val="single" w:color="CCCCCC" w:sz="1"/>
              <w:right w:val="single" w:color="CCCCCC" w:sz="1"/>
            </w:tcBorders>
            <w:shd w:fill="EAECEE"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w:t>
            </w:r>
          </w:p>
        </w:tc>
        <w:tc>
          <w:tcPr>
            <w:tcW w:type="dxa" w:w="4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Implement Phase 1 of the company/multi-user architecture: add companies table and nullable foreign key on profiles.</w:t>
            </w:r>
          </w:p>
        </w:tc>
        <w:tc>
          <w:tcPr>
            <w:tcW w:type="dxa" w:w="32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top"/>
          </w:tcPr>
          <w:p>
            <w:pPr>
              <w:spacing w:after="0" w:before="0"/>
            </w:pPr>
            <w:r>
              <w:rPr>
                <w:rFonts w:ascii="Arial" w:cs="Arial" w:eastAsia="Arial" w:hAnsi="Arial"/>
                <w:b w:val="false"/>
                <w:bCs w:val="false"/>
                <w:color w:val="000000"/>
                <w:sz w:val="18"/>
                <w:szCs w:val="18"/>
              </w:rPr>
              <w:t xml:space="preserve">2 days</w:t>
            </w:r>
          </w:p>
        </w:tc>
      </w:tr>
    </w:tbl>
    <w:p>
      <w:pPr>
        <w:spacing w:after="240" w:before="0"/>
      </w:pPr>
      <w:r>
        <w:t xml:space="preserve"/>
      </w:r>
    </w:p>
    <w:p>
      <w:pPr>
        <w:pStyle w:val="Heading2"/>
        <w:spacing w:after="80" w:before="280"/>
      </w:pPr>
      <w:r>
        <w:rPr>
          <w:rFonts w:ascii="Arial" w:cs="Arial" w:eastAsia="Arial" w:hAnsi="Arial"/>
          <w:b/>
          <w:bCs/>
          <w:color w:val="1B4F72"/>
          <w:sz w:val="26"/>
          <w:szCs w:val="26"/>
        </w:rPr>
        <w:t xml:space="preserve">5.4 Long-Term Roadmap</w:t>
      </w:r>
    </w:p>
    <w:p>
      <w:pPr>
        <w:pStyle w:val="ListParagraph"/>
        <w:numPr>
          <w:ilvl w:val="0"/>
          <w:numId w:val="2"/>
        </w:numPr>
        <w:spacing w:after="40" w:before="0"/>
      </w:pPr>
      <w:r>
        <w:rPr>
          <w:rFonts w:ascii="Arial" w:cs="Arial" w:eastAsia="Arial" w:hAnsi="Arial"/>
          <w:sz w:val="20"/>
          <w:szCs w:val="20"/>
        </w:rPr>
        <w:t xml:space="preserve">Implement Phase 2 &amp; 3 of company architecture: data migration scripts and shared credit pool activation.</w:t>
      </w:r>
    </w:p>
    <w:p>
      <w:pPr>
        <w:pStyle w:val="ListParagraph"/>
        <w:numPr>
          <w:ilvl w:val="0"/>
          <w:numId w:val="2"/>
        </w:numPr>
        <w:spacing w:after="40" w:before="0"/>
      </w:pPr>
      <w:r>
        <w:rPr>
          <w:rFonts w:ascii="Arial" w:cs="Arial" w:eastAsia="Arial" w:hAnsi="Arial"/>
          <w:sz w:val="20"/>
          <w:szCs w:val="20"/>
        </w:rPr>
        <w:t xml:space="preserve">Add Supabase Vault for storing sensitive configuration (Stripe keys) rather than environment variables alone.</w:t>
      </w:r>
    </w:p>
    <w:p>
      <w:pPr>
        <w:pStyle w:val="ListParagraph"/>
        <w:numPr>
          <w:ilvl w:val="0"/>
          <w:numId w:val="2"/>
        </w:numPr>
        <w:spacing w:after="40" w:before="0"/>
      </w:pPr>
      <w:r>
        <w:rPr>
          <w:rFonts w:ascii="Arial" w:cs="Arial" w:eastAsia="Arial" w:hAnsi="Arial"/>
          <w:sz w:val="20"/>
          <w:szCs w:val="20"/>
        </w:rPr>
        <w:t xml:space="preserve">Introduce a CI/CD pipeline with automated security scanning (e.g., GitHub Actions + Snyk or OWASP Dependency-Check).</w:t>
      </w:r>
    </w:p>
    <w:p>
      <w:pPr>
        <w:pStyle w:val="ListParagraph"/>
        <w:numPr>
          <w:ilvl w:val="0"/>
          <w:numId w:val="2"/>
        </w:numPr>
        <w:spacing w:after="40" w:before="0"/>
      </w:pPr>
      <w:r>
        <w:rPr>
          <w:rFonts w:ascii="Arial" w:cs="Arial" w:eastAsia="Arial" w:hAnsi="Arial"/>
          <w:sz w:val="20"/>
          <w:szCs w:val="20"/>
        </w:rPr>
        <w:t xml:space="preserve">Add structured logging (Logflare or Axiom) to all API routes for operational visibility and fraud detection.</w:t>
      </w:r>
    </w:p>
    <w:p>
      <w:pPr>
        <w:pStyle w:val="ListParagraph"/>
        <w:numPr>
          <w:ilvl w:val="0"/>
          <w:numId w:val="2"/>
        </w:numPr>
        <w:spacing w:after="40" w:before="0"/>
      </w:pPr>
      <w:r>
        <w:rPr>
          <w:rFonts w:ascii="Arial" w:cs="Arial" w:eastAsia="Arial" w:hAnsi="Arial"/>
          <w:sz w:val="20"/>
          <w:szCs w:val="20"/>
        </w:rPr>
        <w:t xml:space="preserve">Consider adding Stripe Customer objects linked to both users and companies to support subscription billing alongside credit packs.</w:t>
      </w:r>
    </w:p>
    <w:p>
      <w:pPr>
        <w:spacing w:after="12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AECEE" w:sz="2" w:space="4"/>
      </w:pBdr>
      <w:tabs>
        <w:tab w:val="right" w:pos="9360"/>
      </w:tabs>
    </w:pPr>
    <w:r>
      <w:rPr>
        <w:rFonts w:ascii="Arial" w:cs="Arial" w:eastAsia="Arial" w:hAnsi="Arial"/>
        <w:color w:val="566573"/>
        <w:sz w:val="16"/>
        <w:szCs w:val="16"/>
      </w:rPr>
      <w:t xml:space="preserve">Adelaide GeoExchange · June 2026</w:t>
    </w:r>
    <w:r>
      <w:rPr>
        <w:rFonts w:ascii="Arial" w:cs="Arial" w:eastAsia="Arial" w:hAnsi="Arial"/>
        <w:sz w:val="16"/>
        <w:szCs w:val="16"/>
      </w:rPr>
      <w:t xml:space="preserve">	</w:t>
    </w:r>
    <w:r>
      <w:rPr>
        <w:rFonts w:ascii="Arial" w:cs="Arial" w:eastAsia="Arial" w:hAnsi="Arial"/>
        <w:color w:val="566573"/>
        <w:sz w:val="16"/>
        <w:szCs w:val="16"/>
      </w:rPr>
      <w:t xml:space="preserve">Page </w:t>
    </w:r>
    <w:r>
      <w:rPr>
        <w:rFonts w:ascii="Arial" w:cs="Arial" w:eastAsia="Arial" w:hAnsi="Arial"/>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ECEE" w:sz="2" w:space="4"/>
      </w:pBdr>
      <w:tabs>
        <w:tab w:val="right" w:pos="9360"/>
      </w:tabs>
    </w:pPr>
    <w:r>
      <w:rPr>
        <w:rFonts w:ascii="Arial" w:cs="Arial" w:eastAsia="Arial" w:hAnsi="Arial"/>
        <w:color w:val="566573"/>
        <w:sz w:val="16"/>
        <w:szCs w:val="16"/>
      </w:rPr>
      <w:t xml:space="preserve">HiPer Studio MVHR Design Engine — Code Audit Report</w:t>
    </w:r>
    <w:r>
      <w:rPr>
        <w:rFonts w:ascii="Arial" w:cs="Arial" w:eastAsia="Arial" w:hAnsi="Arial"/>
        <w:sz w:val="16"/>
        <w:szCs w:val="16"/>
      </w:rPr>
      <w:t xml:space="preserve">	</w:t>
    </w:r>
    <w:r>
      <w:rPr>
        <w:rFonts w:ascii="Arial" w:cs="Arial" w:eastAsia="Arial" w:hAnsi="Arial"/>
        <w:b/>
        <w:bCs/>
        <w:color w:val="C0392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B4F72"/>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6657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2026-06-01T08:39:17.495Z</dcterms:created>
  <dcterms:modified xsi:type="dcterms:W3CDTF">2026-06-01T08:39:17.499Z</dcterms:modified>
</cp:coreProperties>
</file>

<file path=docProps/custom.xml><?xml version="1.0" encoding="utf-8"?>
<Properties xmlns="http://schemas.openxmlformats.org/officeDocument/2006/custom-properties" xmlns:vt="http://schemas.openxmlformats.org/officeDocument/2006/docPropsVTypes"/>
</file>