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0"/>
      </w:pPr>
      <w:r>
        <w:t xml:space="preserve"/>
      </w:r>
    </w:p>
    <w:p>
      <w:pPr>
        <w:spacing w:after="80" w:before="0"/>
        <w:jc w:val="center"/>
      </w:pPr>
      <w:r>
        <w:rPr>
          <w:rFonts w:ascii="Arial" w:cs="Arial" w:eastAsia="Arial" w:hAnsi="Arial"/>
          <w:b/>
          <w:bCs/>
          <w:color w:val="1B4F72"/>
          <w:sz w:val="60"/>
          <w:szCs w:val="60"/>
        </w:rPr>
        <w:t xml:space="preserve">HiPer Studio</w:t>
      </w:r>
    </w:p>
    <w:p>
      <w:pPr>
        <w:spacing w:after="240" w:before="0"/>
        <w:jc w:val="center"/>
      </w:pPr>
      <w:r>
        <w:rPr>
          <w:rFonts w:ascii="Arial" w:cs="Arial" w:eastAsia="Arial" w:hAnsi="Arial"/>
          <w:i/>
          <w:iCs/>
          <w:color w:val="4D5656"/>
          <w:sz w:val="32"/>
          <w:szCs w:val="32"/>
        </w:rPr>
        <w:t xml:space="preserve">MVHR Design Platform</w:t>
      </w:r>
    </w:p>
    <w:p>
      <w:pPr>
        <w:pBdr>
          <w:top w:val="single" w:color="1B4F72" w:sz="8" w:space="6"/>
          <w:bottom w:val="single" w:color="1B4F72" w:sz="8" w:space="6"/>
        </w:pBdr>
        <w:spacing w:after="140" w:before="140"/>
        <w:jc w:val="center"/>
      </w:pPr>
      <w:r>
        <w:rPr>
          <w:rFonts w:ascii="Arial" w:cs="Arial" w:eastAsia="Arial" w:hAnsi="Arial"/>
          <w:b/>
          <w:bCs/>
          <w:color w:val="1B4F72"/>
          <w:sz w:val="44"/>
          <w:szCs w:val="44"/>
        </w:rPr>
        <w:t xml:space="preserve">Strategic &amp; Technical Development Plan</w:t>
      </w:r>
    </w:p>
    <w:p>
      <w:pPr>
        <w:spacing w:after="200" w:before="0"/>
      </w:pPr>
      <w:r>
        <w:t xml:space="preserve"/>
      </w:r>
    </w:p>
    <w:p>
      <w:pPr>
        <w:spacing w:after="60" w:before="0"/>
        <w:jc w:val="center"/>
      </w:pPr>
      <w:r>
        <w:rPr>
          <w:rFonts w:ascii="Arial" w:cs="Arial" w:eastAsia="Arial" w:hAnsi="Arial"/>
          <w:color w:val="4D5656"/>
          <w:sz w:val="24"/>
          <w:szCs w:val="24"/>
        </w:rPr>
        <w:t xml:space="preserve">Next Phase: AI-Powered Automation &amp; Commercial Growth</w:t>
      </w:r>
    </w:p>
    <w:p>
      <w:pPr>
        <w:spacing w:after="0" w:before="0"/>
        <w:jc w:val="center"/>
      </w:pPr>
      <w:r>
        <w:rPr>
          <w:rFonts w:ascii="Arial" w:cs="Arial" w:eastAsia="Arial" w:hAnsi="Arial"/>
          <w:i/>
          <w:iCs/>
          <w:color w:val="4D5656"/>
          <w:sz w:val="22"/>
          <w:szCs w:val="22"/>
        </w:rPr>
        <w:t xml:space="preserve">June 2026</w:t>
      </w:r>
    </w:p>
    <w:p>
      <w:pPr>
        <w:spacing w:after="300" w:before="0"/>
      </w:pPr>
      <w:r>
        <w:t xml:space="preserve"/>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148F77" w:sz="1"/>
              <w:left w:val="single" w:color="148F77" w:sz="1"/>
              <w:bottom w:val="single" w:color="148F77" w:sz="1"/>
              <w:right w:val="single" w:color="148F77" w:sz="1"/>
            </w:tcBorders>
            <w:shd w:fill="148F77" w:val="clear"/>
            <w:tcMar>
              <w:top w:type="dxa" w:w="100"/>
              <w:left w:type="dxa" w:w="60"/>
              <w:bottom w:type="dxa" w:w="100"/>
              <w:right w:type="dxa" w:w="60"/>
            </w:tcMar>
          </w:tcPr>
          <w:p>
            <w:pPr>
              <w:spacing w:after="20" w:before="0"/>
              <w:jc w:val="center"/>
            </w:pPr>
            <w:r>
              <w:rPr>
                <w:rFonts w:ascii="Arial" w:cs="Arial" w:eastAsia="Arial" w:hAnsi="Arial"/>
                <w:b/>
                <w:bCs/>
                <w:color w:val="FFFFFF"/>
                <w:sz w:val="16"/>
                <w:szCs w:val="16"/>
              </w:rPr>
              <w:t xml:space="preserve">Phase 1</w:t>
            </w:r>
          </w:p>
          <w:p>
            <w:pPr>
              <w:spacing w:after="0" w:before="0"/>
              <w:jc w:val="center"/>
            </w:pPr>
            <w:r>
              <w:rPr>
                <w:rFonts w:ascii="Arial" w:cs="Arial" w:eastAsia="Arial" w:hAnsi="Arial"/>
                <w:color w:val="FFFFFF"/>
                <w:sz w:val="15"/>
                <w:szCs w:val="15"/>
              </w:rPr>
              <w:t xml:space="preserve">AI Plan Analysis</w:t>
            </w:r>
          </w:p>
        </w:tc>
        <w:tc>
          <w:tcPr>
            <w:tcW w:type="dxa" w:w="1560"/>
            <w:tcBorders>
              <w:top w:val="single" w:color="1E8449" w:sz="1"/>
              <w:left w:val="single" w:color="1E8449" w:sz="1"/>
              <w:bottom w:val="single" w:color="1E8449" w:sz="1"/>
              <w:right w:val="single" w:color="1E8449" w:sz="1"/>
            </w:tcBorders>
            <w:shd w:fill="1E8449" w:val="clear"/>
            <w:tcMar>
              <w:top w:type="dxa" w:w="100"/>
              <w:left w:type="dxa" w:w="60"/>
              <w:bottom w:type="dxa" w:w="100"/>
              <w:right w:type="dxa" w:w="60"/>
            </w:tcMar>
          </w:tcPr>
          <w:p>
            <w:pPr>
              <w:spacing w:after="20" w:before="0"/>
              <w:jc w:val="center"/>
            </w:pPr>
            <w:r>
              <w:rPr>
                <w:rFonts w:ascii="Arial" w:cs="Arial" w:eastAsia="Arial" w:hAnsi="Arial"/>
                <w:b/>
                <w:bCs/>
                <w:color w:val="FFFFFF"/>
                <w:sz w:val="16"/>
                <w:szCs w:val="16"/>
              </w:rPr>
              <w:t xml:space="preserve">Phase 2</w:t>
            </w:r>
          </w:p>
          <w:p>
            <w:pPr>
              <w:spacing w:after="0" w:before="0"/>
              <w:jc w:val="center"/>
            </w:pPr>
            <w:r>
              <w:rPr>
                <w:rFonts w:ascii="Arial" w:cs="Arial" w:eastAsia="Arial" w:hAnsi="Arial"/>
                <w:color w:val="FFFFFF"/>
                <w:sz w:val="15"/>
                <w:szCs w:val="15"/>
              </w:rPr>
              <w:t xml:space="preserve">Intelligent Unit Selection</w:t>
            </w:r>
          </w:p>
        </w:tc>
        <w:tc>
          <w:tcPr>
            <w:tcW w:type="dxa" w:w="1560"/>
            <w:tcBorders>
              <w:top w:val="single" w:color="1B4F72" w:sz="1"/>
              <w:left w:val="single" w:color="1B4F72" w:sz="1"/>
              <w:bottom w:val="single" w:color="1B4F72" w:sz="1"/>
              <w:right w:val="single" w:color="1B4F72" w:sz="1"/>
            </w:tcBorders>
            <w:shd w:fill="1B4F72" w:val="clear"/>
            <w:tcMar>
              <w:top w:type="dxa" w:w="100"/>
              <w:left w:type="dxa" w:w="60"/>
              <w:bottom w:type="dxa" w:w="100"/>
              <w:right w:type="dxa" w:w="60"/>
            </w:tcMar>
          </w:tcPr>
          <w:p>
            <w:pPr>
              <w:spacing w:after="20" w:before="0"/>
              <w:jc w:val="center"/>
            </w:pPr>
            <w:r>
              <w:rPr>
                <w:rFonts w:ascii="Arial" w:cs="Arial" w:eastAsia="Arial" w:hAnsi="Arial"/>
                <w:b/>
                <w:bCs/>
                <w:color w:val="FFFFFF"/>
                <w:sz w:val="16"/>
                <w:szCs w:val="16"/>
              </w:rPr>
              <w:t xml:space="preserve">Phase 3</w:t>
            </w:r>
          </w:p>
          <w:p>
            <w:pPr>
              <w:spacing w:after="0" w:before="0"/>
              <w:jc w:val="center"/>
            </w:pPr>
            <w:r>
              <w:rPr>
                <w:rFonts w:ascii="Arial" w:cs="Arial" w:eastAsia="Arial" w:hAnsi="Arial"/>
                <w:color w:val="FFFFFF"/>
                <w:sz w:val="15"/>
                <w:szCs w:val="15"/>
              </w:rPr>
              <w:t xml:space="preserve">Duct System Intelligence</w:t>
            </w:r>
          </w:p>
        </w:tc>
        <w:tc>
          <w:tcPr>
            <w:tcW w:type="dxa" w:w="1560"/>
            <w:tcBorders>
              <w:top w:val="single" w:color="6C3483" w:sz="1"/>
              <w:left w:val="single" w:color="6C3483" w:sz="1"/>
              <w:bottom w:val="single" w:color="6C3483" w:sz="1"/>
              <w:right w:val="single" w:color="6C3483" w:sz="1"/>
            </w:tcBorders>
            <w:shd w:fill="6C3483" w:val="clear"/>
            <w:tcMar>
              <w:top w:type="dxa" w:w="100"/>
              <w:left w:type="dxa" w:w="60"/>
              <w:bottom w:type="dxa" w:w="100"/>
              <w:right w:type="dxa" w:w="60"/>
            </w:tcMar>
          </w:tcPr>
          <w:p>
            <w:pPr>
              <w:spacing w:after="20" w:before="0"/>
              <w:jc w:val="center"/>
            </w:pPr>
            <w:r>
              <w:rPr>
                <w:rFonts w:ascii="Arial" w:cs="Arial" w:eastAsia="Arial" w:hAnsi="Arial"/>
                <w:b/>
                <w:bCs/>
                <w:color w:val="FFFFFF"/>
                <w:sz w:val="16"/>
                <w:szCs w:val="16"/>
              </w:rPr>
              <w:t xml:space="preserve">Phase 4</w:t>
            </w:r>
          </w:p>
          <w:p>
            <w:pPr>
              <w:spacing w:after="0" w:before="0"/>
              <w:jc w:val="center"/>
            </w:pPr>
            <w:r>
              <w:rPr>
                <w:rFonts w:ascii="Arial" w:cs="Arial" w:eastAsia="Arial" w:hAnsi="Arial"/>
                <w:color w:val="FFFFFF"/>
                <w:sz w:val="15"/>
                <w:szCs w:val="15"/>
              </w:rPr>
              <w:t xml:space="preserve">Supplier Data Import AI</w:t>
            </w:r>
          </w:p>
        </w:tc>
        <w:tc>
          <w:tcPr>
            <w:tcW w:type="dxa" w:w="1560"/>
            <w:tcBorders>
              <w:top w:val="single" w:color="D35400" w:sz="1"/>
              <w:left w:val="single" w:color="D35400" w:sz="1"/>
              <w:bottom w:val="single" w:color="D35400" w:sz="1"/>
              <w:right w:val="single" w:color="D35400" w:sz="1"/>
            </w:tcBorders>
            <w:shd w:fill="D35400" w:val="clear"/>
            <w:tcMar>
              <w:top w:type="dxa" w:w="100"/>
              <w:left w:type="dxa" w:w="60"/>
              <w:bottom w:type="dxa" w:w="100"/>
              <w:right w:type="dxa" w:w="60"/>
            </w:tcMar>
          </w:tcPr>
          <w:p>
            <w:pPr>
              <w:spacing w:after="20" w:before="0"/>
              <w:jc w:val="center"/>
            </w:pPr>
            <w:r>
              <w:rPr>
                <w:rFonts w:ascii="Arial" w:cs="Arial" w:eastAsia="Arial" w:hAnsi="Arial"/>
                <w:b/>
                <w:bCs/>
                <w:color w:val="FFFFFF"/>
                <w:sz w:val="16"/>
                <w:szCs w:val="16"/>
              </w:rPr>
              <w:t xml:space="preserve">Phase 5</w:t>
            </w:r>
          </w:p>
          <w:p>
            <w:pPr>
              <w:spacing w:after="0" w:before="0"/>
              <w:jc w:val="center"/>
            </w:pPr>
            <w:r>
              <w:rPr>
                <w:rFonts w:ascii="Arial" w:cs="Arial" w:eastAsia="Arial" w:hAnsi="Arial"/>
                <w:color w:val="FFFFFF"/>
                <w:sz w:val="15"/>
                <w:szCs w:val="15"/>
              </w:rPr>
              <w:t xml:space="preserve">Company Workspaces</w:t>
            </w:r>
          </w:p>
        </w:tc>
        <w:tc>
          <w:tcPr>
            <w:tcW w:type="dxa" w:w="1560"/>
            <w:tcBorders>
              <w:top w:val="single" w:color="B7950B" w:sz="1"/>
              <w:left w:val="single" w:color="B7950B" w:sz="1"/>
              <w:bottom w:val="single" w:color="B7950B" w:sz="1"/>
              <w:right w:val="single" w:color="B7950B" w:sz="1"/>
            </w:tcBorders>
            <w:shd w:fill="B7950B" w:val="clear"/>
            <w:tcMar>
              <w:top w:type="dxa" w:w="100"/>
              <w:left w:type="dxa" w:w="60"/>
              <w:bottom w:type="dxa" w:w="100"/>
              <w:right w:type="dxa" w:w="60"/>
            </w:tcMar>
          </w:tcPr>
          <w:p>
            <w:pPr>
              <w:spacing w:after="20" w:before="0"/>
              <w:jc w:val="center"/>
            </w:pPr>
            <w:r>
              <w:rPr>
                <w:rFonts w:ascii="Arial" w:cs="Arial" w:eastAsia="Arial" w:hAnsi="Arial"/>
                <w:b/>
                <w:bCs/>
                <w:color w:val="FFFFFF"/>
                <w:sz w:val="16"/>
                <w:szCs w:val="16"/>
              </w:rPr>
              <w:t xml:space="preserve">Phase 6</w:t>
            </w:r>
          </w:p>
          <w:p>
            <w:pPr>
              <w:spacing w:after="0" w:before="0"/>
              <w:jc w:val="center"/>
            </w:pPr>
            <w:r>
              <w:rPr>
                <w:rFonts w:ascii="Arial" w:cs="Arial" w:eastAsia="Arial" w:hAnsi="Arial"/>
                <w:color w:val="FFFFFF"/>
                <w:sz w:val="15"/>
                <w:szCs w:val="15"/>
              </w:rPr>
              <w:t xml:space="preserve">Commercial Review</w:t>
            </w:r>
          </w:p>
        </w:tc>
      </w:tr>
    </w:tbl>
    <w:p>
      <w:r>
        <w:br w:type="page"/>
      </w:r>
    </w:p>
    <w:p>
      <w:pPr>
        <w:pStyle w:val="Heading1"/>
        <w:pBdr>
          <w:bottom w:val="single" w:color="1B4F72" w:sz="6" w:space="4"/>
        </w:pBdr>
        <w:spacing w:after="140" w:before="400"/>
      </w:pPr>
      <w:r>
        <w:rPr>
          <w:rFonts w:ascii="Arial" w:cs="Arial" w:eastAsia="Arial" w:hAnsi="Arial"/>
          <w:b/>
          <w:bCs/>
          <w:color w:val="1B4F72"/>
          <w:sz w:val="34"/>
          <w:szCs w:val="34"/>
        </w:rPr>
        <w:t xml:space="preserve">1. Current Architecture Review</w:t>
      </w:r>
    </w:p>
    <w:p>
      <w:pPr>
        <w:spacing w:after="80" w:before="0"/>
      </w:pPr>
      <w:r>
        <w:rPr>
          <w:rFonts w:ascii="Arial" w:cs="Arial" w:eastAsia="Arial" w:hAnsi="Arial"/>
          <w:sz w:val="20"/>
          <w:szCs w:val="20"/>
        </w:rPr>
        <w:t xml:space="preserve">This section documents what exists today — the honest baseline against which every phase recommendation is made.</w:t>
      </w:r>
    </w:p>
    <w:p>
      <w:pPr>
        <w:spacing w:after="100" w:before="0"/>
      </w:pPr>
      <w:r>
        <w:t xml:space="preserve"/>
      </w:r>
    </w:p>
    <w:p>
      <w:pPr>
        <w:pStyle w:val="Heading2"/>
        <w:spacing w:after="80" w:before="300"/>
      </w:pPr>
      <w:r>
        <w:rPr>
          <w:rFonts w:ascii="Arial" w:cs="Arial" w:eastAsia="Arial" w:hAnsi="Arial"/>
          <w:b/>
          <w:bCs/>
          <w:color w:val="1B4F72"/>
          <w:sz w:val="26"/>
          <w:szCs w:val="26"/>
        </w:rPr>
        <w:t xml:space="preserve">1.1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Layer</w:t>
            </w:r>
          </w:p>
        </w:tc>
        <w:tc>
          <w:tcPr>
            <w:tcW w:type="dxa" w:w="30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Technology</w:t>
            </w:r>
          </w:p>
        </w:tc>
        <w:tc>
          <w:tcPr>
            <w:tcW w:type="dxa" w:w="416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Single HTML file (5,917 lines)</w:t>
            </w:r>
          </w:p>
        </w:tc>
        <w:tc>
          <w:tcPr>
            <w:tcW w:type="dxa" w:w="4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iCs/>
                <w:color w:val="4D5656"/>
                <w:sz w:val="18"/>
                <w:szCs w:val="18"/>
              </w:rPr>
              <w:t xml:space="preserve">Vanilla JS, inline CSS, no build tooling</w:t>
            </w:r>
          </w:p>
        </w:tc>
      </w:tr>
      <w:tr>
        <w:tc>
          <w:tcPr>
            <w:tcW w:type="dxa" w:w="22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Backend API</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Vercel Serverless Functions (Node.js ESM)</w:t>
            </w:r>
          </w:p>
        </w:tc>
        <w:tc>
          <w:tcPr>
            <w:tcW w:type="dxa" w:w="4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iCs/>
                <w:color w:val="4D5656"/>
                <w:sz w:val="18"/>
                <w:szCs w:val="18"/>
              </w:rPr>
              <w:t xml:space="preserve">api/ directory, one function per route</w:t>
            </w:r>
          </w:p>
        </w:tc>
      </w:tr>
      <w:tr>
        <w:tc>
          <w:tcPr>
            <w:tcW w:type="dxa" w:w="22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Database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Supabase (PostgreSQL + Auth + Storage)</w:t>
            </w:r>
          </w:p>
        </w:tc>
        <w:tc>
          <w:tcPr>
            <w:tcW w:type="dxa" w:w="4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iCs/>
                <w:color w:val="4D5656"/>
                <w:sz w:val="18"/>
                <w:szCs w:val="18"/>
              </w:rPr>
              <w:t xml:space="preserve">Row-level security, realtime available but unused</w:t>
            </w:r>
          </w:p>
        </w:tc>
      </w:tr>
      <w:tr>
        <w:tc>
          <w:tcPr>
            <w:tcW w:type="dxa" w:w="22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Payments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Stripe Checkout + Webhooks</w:t>
            </w:r>
          </w:p>
        </w:tc>
        <w:tc>
          <w:tcPr>
            <w:tcW w:type="dxa" w:w="4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iCs/>
                <w:color w:val="4D5656"/>
                <w:sz w:val="18"/>
                <w:szCs w:val="18"/>
              </w:rPr>
              <w:t xml:space="preserve">Credit packages, idempotent webhook handler</w:t>
            </w:r>
          </w:p>
        </w:tc>
      </w:tr>
      <w:tr>
        <w:tc>
          <w:tcPr>
            <w:tcW w:type="dxa" w:w="22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Deployment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Vercel (Hobby plan)</w:t>
            </w:r>
          </w:p>
        </w:tc>
        <w:tc>
          <w:tcPr>
            <w:tcW w:type="dxa" w:w="4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iCs/>
                <w:color w:val="4D5656"/>
                <w:sz w:val="18"/>
                <w:szCs w:val="18"/>
              </w:rPr>
              <w:t xml:space="preserve">Auto-deploy from GitHub; no CI/CD pipeline</w:t>
            </w:r>
          </w:p>
        </w:tc>
      </w:tr>
      <w:tr>
        <w:tc>
          <w:tcPr>
            <w:tcW w:type="dxa" w:w="22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Unit Data</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354 PHI-certified units (mvhr_units table)</w:t>
            </w:r>
          </w:p>
        </w:tc>
        <w:tc>
          <w:tcPr>
            <w:tcW w:type="dxa" w:w="4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iCs/>
                <w:color w:val="4D5656"/>
                <w:sz w:val="18"/>
                <w:szCs w:val="18"/>
              </w:rPr>
              <w:t xml:space="preserve">Synced to localStorage on first load</w:t>
            </w:r>
          </w:p>
        </w:tc>
      </w:tr>
    </w:tbl>
    <w:p>
      <w:pPr>
        <w:spacing w:after="200" w:before="0"/>
      </w:pPr>
      <w:r>
        <w:t xml:space="preserve"/>
      </w:r>
    </w:p>
    <w:p>
      <w:pPr>
        <w:pStyle w:val="Heading2"/>
        <w:spacing w:after="80" w:before="300"/>
      </w:pPr>
      <w:r>
        <w:rPr>
          <w:rFonts w:ascii="Arial" w:cs="Arial" w:eastAsia="Arial" w:hAnsi="Arial"/>
          <w:b/>
          <w:bCs/>
          <w:color w:val="1B4F72"/>
          <w:sz w:val="26"/>
          <w:szCs w:val="26"/>
        </w:rPr>
        <w:t xml:space="preserve">1.2 Calculation Engine</w:t>
      </w:r>
    </w:p>
    <w:p>
      <w:pPr>
        <w:spacing w:after="80" w:before="0"/>
      </w:pPr>
      <w:r>
        <w:rPr>
          <w:rFonts w:ascii="Arial" w:cs="Arial" w:eastAsia="Arial" w:hAnsi="Arial"/>
          <w:sz w:val="20"/>
          <w:szCs w:val="20"/>
        </w:rPr>
        <w:t xml:space="preserve">The airflow calculation follows the PHI/PHPP methodology: design flow is the maximum of three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rPr>
          <w:tblHeader/>
        </w:trPr>
        <w:tc>
          <w:tcPr>
            <w:tcW w:type="dxa" w:w="26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Criterion</w:t>
            </w:r>
          </w:p>
        </w:tc>
        <w:tc>
          <w:tcPr>
            <w:tcW w:type="dxa" w:w="35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Formula</w:t>
            </w:r>
          </w:p>
        </w:tc>
        <w:tc>
          <w:tcPr>
            <w:tcW w:type="dxa" w:w="326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Typical Governing Case</w:t>
            </w:r>
          </w:p>
        </w:tc>
      </w:tr>
      <w:tr>
        <w:tc>
          <w:tcPr>
            <w:tcW w:type="dxa" w:w="26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Occupancy</w:t>
            </w:r>
          </w:p>
        </w:tc>
        <w:tc>
          <w:tcPr>
            <w:tcW w:type="dxa" w:w="3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Persons × 30 m³/h per person</w:t>
            </w:r>
          </w:p>
        </w:tc>
        <w:tc>
          <w:tcPr>
            <w:tcW w:type="dxa" w:w="3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iCs/>
                <w:color w:val="4D5656"/>
                <w:sz w:val="18"/>
                <w:szCs w:val="18"/>
              </w:rPr>
              <w:t xml:space="preserve">Studios and small apartments</w:t>
            </w:r>
          </w:p>
        </w:tc>
      </w:tr>
      <w:tr>
        <w:tc>
          <w:tcPr>
            <w:tcW w:type="dxa" w:w="26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Minimum ACH</w:t>
            </w:r>
          </w:p>
        </w:tc>
        <w:tc>
          <w:tcPr>
            <w:tcW w:type="dxa" w:w="3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Floor area × ceiling height × 0.3 ACH</w:t>
            </w:r>
          </w:p>
        </w:tc>
        <w:tc>
          <w:tcPr>
            <w:tcW w:type="dxa" w:w="3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iCs/>
                <w:color w:val="4D5656"/>
                <w:sz w:val="18"/>
                <w:szCs w:val="18"/>
              </w:rPr>
              <w:t xml:space="preserve">Open-plan large floor areas</w:t>
            </w:r>
          </w:p>
        </w:tc>
      </w:tr>
      <w:tr>
        <w:tc>
          <w:tcPr>
            <w:tcW w:type="dxa" w:w="26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Extract demand</w:t>
            </w:r>
          </w:p>
        </w:tc>
        <w:tc>
          <w:tcPr>
            <w:tcW w:type="dxa" w:w="3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Sum of wet-room defaults (Kitchen 46, Bathroom 30, WC 20 etc.)</w:t>
            </w:r>
          </w:p>
        </w:tc>
        <w:tc>
          <w:tcPr>
            <w:tcW w:type="dxa" w:w="3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iCs/>
                <w:color w:val="4D5656"/>
                <w:sz w:val="18"/>
                <w:szCs w:val="18"/>
              </w:rPr>
              <w:t xml:space="preserve">Houses with multiple wet rooms</w:t>
            </w:r>
          </w:p>
        </w:tc>
      </w:tr>
    </w:tbl>
    <w:p>
      <w:pPr>
        <w:spacing w:after="100" w:before="0"/>
      </w:pPr>
      <w:r>
        <w:t xml:space="preserve"/>
      </w:r>
    </w:p>
    <w:p>
      <w:pPr>
        <w:spacing w:after="80" w:before="0"/>
      </w:pPr>
      <w:r>
        <w:rPr>
          <w:rFonts w:ascii="Arial" w:cs="Arial" w:eastAsia="Arial" w:hAnsi="Arial"/>
          <w:sz w:val="20"/>
          <w:szCs w:val="20"/>
        </w:rPr>
        <w:t xml:space="preserve">Airflow is then distributed proportionally across supply and extract rooms using per-room-type default weights. Duct sizing uses a single fixed diameter (90 mm) with Darcy-Weisbach friction loss and a fixed zeta coefficient for bends. The pressure loss model is simplified: it does not distinguish between radial and trunk-and-branch systems, does not account for fitting types, and does not check for velocity exceedances or balancing across branches.</w:t>
      </w:r>
    </w:p>
    <w:p>
      <w:pPr>
        <w:spacing w:after="200" w:before="0"/>
      </w:pPr>
      <w:r>
        <w:t xml:space="preserve"/>
      </w:r>
    </w:p>
    <w:p>
      <w:pPr>
        <w:pStyle w:val="Heading2"/>
        <w:spacing w:after="80" w:before="300"/>
      </w:pPr>
      <w:r>
        <w:rPr>
          <w:rFonts w:ascii="Arial" w:cs="Arial" w:eastAsia="Arial" w:hAnsi="Arial"/>
          <w:b/>
          <w:bCs/>
          <w:color w:val="1B4F72"/>
          <w:sz w:val="26"/>
          <w:szCs w:val="26"/>
        </w:rPr>
        <w:t xml:space="preserve">1.3 Unit Selection</w:t>
      </w:r>
    </w:p>
    <w:p>
      <w:pPr>
        <w:spacing w:after="80" w:before="0"/>
      </w:pPr>
      <w:r>
        <w:rPr>
          <w:rFonts w:ascii="Arial" w:cs="Arial" w:eastAsia="Arial" w:hAnsi="Arial"/>
          <w:sz w:val="20"/>
          <w:szCs w:val="20"/>
        </w:rPr>
        <w:t xml:space="preserve">The current unit selector applies a single filter: flowMin ≤ designFlow ≤ flowMax. Results are sorted by heat recovery efficiency descending and capped at 8 results. The following PHI-certified data fields exist in the database but are not used in selection logic:</w:t>
      </w:r>
    </w:p>
    <w:p>
      <w:pPr>
        <w:pStyle w:val="ListParagraph"/>
        <w:numPr>
          <w:ilvl w:val="0"/>
          <w:numId w:val="2"/>
        </w:numPr>
        <w:spacing w:after="50" w:before="0"/>
      </w:pPr>
      <w:r>
        <w:rPr>
          <w:rFonts w:ascii="Arial" w:cs="Arial" w:eastAsia="Arial" w:hAnsi="Arial"/>
          <w:color w:val="000000"/>
          <w:sz w:val="20"/>
          <w:szCs w:val="20"/>
        </w:rPr>
        <w:t xml:space="preserve">External static pressure (ext_pressure) — all 354 units share 100 Pa from the PHI database</w:t>
      </w:r>
    </w:p>
    <w:p>
      <w:pPr>
        <w:pStyle w:val="ListParagraph"/>
        <w:numPr>
          <w:ilvl w:val="0"/>
          <w:numId w:val="2"/>
        </w:numPr>
        <w:spacing w:after="50" w:before="0"/>
      </w:pPr>
      <w:r>
        <w:rPr>
          <w:rFonts w:ascii="Arial" w:cs="Arial" w:eastAsia="Arial" w:hAnsi="Arial"/>
          <w:color w:val="000000"/>
          <w:sz w:val="20"/>
          <w:szCs w:val="20"/>
        </w:rPr>
        <w:t xml:space="preserve">Specific fan power (sfp) — available but not weighted</w:t>
      </w:r>
    </w:p>
    <w:p>
      <w:pPr>
        <w:pStyle w:val="ListParagraph"/>
        <w:numPr>
          <w:ilvl w:val="0"/>
          <w:numId w:val="2"/>
        </w:numPr>
        <w:spacing w:after="50" w:before="0"/>
      </w:pPr>
      <w:r>
        <w:rPr>
          <w:rFonts w:ascii="Arial" w:cs="Arial" w:eastAsia="Arial" w:hAnsi="Arial"/>
          <w:color w:val="000000"/>
          <w:sz w:val="20"/>
          <w:szCs w:val="20"/>
        </w:rPr>
        <w:t xml:space="preserve">Noise levels — extract side and supply side dB available, not shown to user</w:t>
      </w:r>
    </w:p>
    <w:p>
      <w:pPr>
        <w:pStyle w:val="ListParagraph"/>
        <w:numPr>
          <w:ilvl w:val="0"/>
          <w:numId w:val="2"/>
        </w:numPr>
        <w:spacing w:after="50" w:before="0"/>
      </w:pPr>
      <w:r>
        <w:rPr>
          <w:rFonts w:ascii="Arial" w:cs="Arial" w:eastAsia="Arial" w:hAnsi="Arial"/>
          <w:color w:val="000000"/>
          <w:sz w:val="20"/>
          <w:szCs w:val="20"/>
        </w:rPr>
        <w:t xml:space="preserve">Humidity recovery — winter and summer values available, ignored in selection</w:t>
      </w:r>
    </w:p>
    <w:p>
      <w:pPr>
        <w:pStyle w:val="ListParagraph"/>
        <w:numPr>
          <w:ilvl w:val="0"/>
          <w:numId w:val="2"/>
        </w:numPr>
        <w:spacing w:after="50" w:before="0"/>
      </w:pPr>
      <w:r>
        <w:rPr>
          <w:rFonts w:ascii="Arial" w:cs="Arial" w:eastAsia="Arial" w:hAnsi="Arial"/>
          <w:color w:val="000000"/>
          <w:sz w:val="20"/>
          <w:szCs w:val="20"/>
        </w:rPr>
        <w:t xml:space="preserve">Frost protection flag — available, not filtered</w:t>
      </w:r>
    </w:p>
    <w:p>
      <w:pPr>
        <w:spacing w:after="200" w:before="0"/>
      </w:pPr>
      <w:r>
        <w:t xml:space="preserve"/>
      </w:r>
    </w:p>
    <w:p>
      <w:pPr>
        <w:pStyle w:val="Heading2"/>
        <w:spacing w:after="80" w:before="300"/>
      </w:pPr>
      <w:r>
        <w:rPr>
          <w:rFonts w:ascii="Arial" w:cs="Arial" w:eastAsia="Arial" w:hAnsi="Arial"/>
          <w:b/>
          <w:bCs/>
          <w:color w:val="1B4F72"/>
          <w:sz w:val="26"/>
          <w:szCs w:val="26"/>
        </w:rPr>
        <w:t xml:space="preserve">1.4 Data Model (Key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660"/>
      </w:tblGrid>
      <w:tr>
        <w:trPr>
          <w:tblHeader/>
        </w:trPr>
        <w:tc>
          <w:tcPr>
            <w:tcW w:type="dxa" w:w="20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Table</w:t>
            </w:r>
          </w:p>
        </w:tc>
        <w:tc>
          <w:tcPr>
            <w:tcW w:type="dxa" w:w="37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Key Columns</w:t>
            </w:r>
          </w:p>
        </w:tc>
        <w:tc>
          <w:tcPr>
            <w:tcW w:type="dxa" w:w="366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Current Gaps</w:t>
            </w:r>
          </w:p>
        </w:tc>
      </w:tr>
      <w:tr>
        <w:tc>
          <w:tcPr>
            <w:tcW w:type="dxa" w:w="20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projects</w:t>
            </w:r>
          </w:p>
        </w:tc>
        <w:tc>
          <w:tcPr>
            <w:tcW w:type="dxa" w:w="3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id, user_id, state_json (blob), plan_state_json (blob), storey_count</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C0392B"/>
                <w:sz w:val="18"/>
                <w:szCs w:val="18"/>
              </w:rPr>
              <w:t xml:space="preserve">No climate zone, no system type, no AI analysis result</w:t>
            </w:r>
          </w:p>
        </w:tc>
      </w:tr>
      <w:tr>
        <w:tc>
          <w:tcPr>
            <w:tcW w:type="dxa" w:w="20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mvhr_units</w:t>
            </w:r>
          </w:p>
        </w:tc>
        <w:tc>
          <w:tcPr>
            <w:tcW w:type="dxa" w:w="3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phi_cert_id, hr_eff, sfp, flow_min/max, ext_pressure, noise_*</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C0392B"/>
                <w:sz w:val="18"/>
                <w:szCs w:val="18"/>
              </w:rPr>
              <w:t xml:space="preserve">No commercial pricing, no dimensions, no connection sizes, no accessories</w:t>
            </w:r>
          </w:p>
        </w:tc>
      </w:tr>
      <w:tr>
        <w:tc>
          <w:tcPr>
            <w:tcW w:type="dxa" w:w="20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profiles</w:t>
            </w:r>
          </w:p>
        </w:tc>
        <w:tc>
          <w:tcPr>
            <w:tcW w:type="dxa" w:w="3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credit_balance, company_id, company_role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C0392B"/>
                <w:sz w:val="18"/>
                <w:szCs w:val="18"/>
              </w:rPr>
              <w:t xml:space="preserve">No climate zone preference, no discipline/role field</w:t>
            </w:r>
          </w:p>
        </w:tc>
      </w:tr>
      <w:tr>
        <w:tc>
          <w:tcPr>
            <w:tcW w:type="dxa" w:w="20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companies</w:t>
            </w:r>
          </w:p>
        </w:tc>
        <w:tc>
          <w:tcPr>
            <w:tcW w:type="dxa" w:w="3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credit_balance, pool_credits_enabled</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C0392B"/>
                <w:sz w:val="18"/>
                <w:szCs w:val="18"/>
              </w:rPr>
              <w:t xml:space="preserve">No credit allocation limits per member</w:t>
            </w:r>
          </w:p>
        </w:tc>
      </w:tr>
      <w:tr>
        <w:tc>
          <w:tcPr>
            <w:tcW w:type="dxa" w:w="20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operation_costs</w:t>
            </w:r>
          </w:p>
        </w:tc>
        <w:tc>
          <w:tcPr>
            <w:tcW w:type="dxa" w:w="3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operation, credits, label</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C0392B"/>
                <w:sz w:val="18"/>
                <w:szCs w:val="18"/>
              </w:rPr>
              <w:t xml:space="preserve">No per-tier pricing, no AI operation types</w:t>
            </w:r>
          </w:p>
        </w:tc>
      </w:tr>
      <w:tr>
        <w:tc>
          <w:tcPr>
            <w:tcW w:type="dxa" w:w="20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credit_packages</w:t>
            </w:r>
          </w:p>
        </w:tc>
        <w:tc>
          <w:tcPr>
            <w:tcW w:type="dxa" w:w="3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credits, price_aud, stripe_price_id</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C0392B"/>
                <w:sz w:val="18"/>
                <w:szCs w:val="18"/>
              </w:rPr>
              <w:t xml:space="preserve">No subscription option, no volume discount</w:t>
            </w:r>
          </w:p>
        </w:tc>
      </w:tr>
    </w:tbl>
    <w:p>
      <w:pPr>
        <w:spacing w:after="100" w:before="0"/>
      </w:pPr>
      <w:r>
        <w:t xml:space="preserve"/>
      </w:r>
    </w:p>
    <w:p>
      <w:r>
        <w:br w:type="page"/>
      </w:r>
    </w:p>
    <w:p>
      <w:pPr>
        <w:pStyle w:val="Heading1"/>
        <w:pBdr>
          <w:bottom w:val="single" w:color="1B4F72" w:sz="6" w:space="4"/>
        </w:pBdr>
        <w:spacing w:after="140" w:before="400"/>
      </w:pPr>
      <w:r>
        <w:rPr>
          <w:rFonts w:ascii="Arial" w:cs="Arial" w:eastAsia="Arial" w:hAnsi="Arial"/>
          <w:b/>
          <w:bCs/>
          <w:color w:val="1B4F72"/>
          <w:sz w:val="34"/>
          <w:szCs w:val="34"/>
        </w:rPr>
        <w:t xml:space="preserve">2. Gap Analysis</w:t>
      </w:r>
    </w:p>
    <w:p>
      <w:pPr>
        <w:spacing w:after="80" w:before="0"/>
      </w:pPr>
      <w:r>
        <w:rPr>
          <w:rFonts w:ascii="Arial" w:cs="Arial" w:eastAsia="Arial" w:hAnsi="Arial"/>
          <w:sz w:val="20"/>
          <w:szCs w:val="20"/>
        </w:rPr>
        <w:t xml:space="preserve">The following gaps represent the distance between the current state and the target product. Each gap maps to a development phase.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760"/>
      </w:tblGrid>
      <w:tr>
        <w:trPr>
          <w:tblHeader/>
        </w:trPr>
        <w:tc>
          <w:tcPr>
            <w:tcW w:type="dxa" w:w="24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Gap</w:t>
            </w:r>
          </w:p>
        </w:tc>
        <w:tc>
          <w:tcPr>
            <w:tcW w:type="dxa" w:w="52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Impact</w:t>
            </w:r>
          </w:p>
        </w:tc>
        <w:tc>
          <w:tcPr>
            <w:tcW w:type="dxa" w:w="176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Addressed In</w:t>
            </w:r>
          </w:p>
        </w:tc>
      </w:tr>
      <w:tr>
        <w:tc>
          <w:tcPr>
            <w:tcW w:type="dxa" w:w="24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148F77"/>
                <w:sz w:val="18"/>
                <w:szCs w:val="18"/>
              </w:rPr>
              <w:t xml:space="preserve">Room data is entered manually — no plan reading</w:t>
            </w:r>
          </w:p>
        </w:tc>
        <w:tc>
          <w:tcPr>
            <w:tcW w:type="dxa" w:w="5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Floor Plan → Design step is slow and error-prone; the #1 friction point for new users</w:t>
            </w:r>
          </w:p>
        </w:tc>
        <w:tc>
          <w:tcPr>
            <w:tcW w:type="dxa" w:w="176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148F77"/>
                <w:sz w:val="18"/>
                <w:szCs w:val="18"/>
              </w:rPr>
              <w:t xml:space="preserve">Phase 1</w:t>
            </w:r>
          </w:p>
        </w:tc>
      </w:tr>
      <w:tr>
        <w:tc>
          <w:tcPr>
            <w:tcW w:type="dxa" w:w="24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1E8449"/>
                <w:sz w:val="18"/>
                <w:szCs w:val="18"/>
              </w:rPr>
              <w:t xml:space="preserve">Unit selection uses only flow range</w:t>
            </w:r>
          </w:p>
        </w:tc>
        <w:tc>
          <w:tcPr>
            <w:tcW w:type="dxa" w:w="5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Designers cannot trust the recommendation; often override manually; competitive tools do multi-factor scoring</w:t>
            </w:r>
          </w:p>
        </w:tc>
        <w:tc>
          <w:tcPr>
            <w:tcW w:type="dxa" w:w="176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1E8449"/>
                <w:sz w:val="18"/>
                <w:szCs w:val="18"/>
              </w:rPr>
              <w:t xml:space="preserve">Phase 2</w:t>
            </w:r>
          </w:p>
        </w:tc>
      </w:tr>
      <w:tr>
        <w:tc>
          <w:tcPr>
            <w:tcW w:type="dxa" w:w="24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1B4F72"/>
                <w:sz w:val="18"/>
                <w:szCs w:val="18"/>
              </w:rPr>
              <w:t xml:space="preserve">Single fixed 90mm duct, radial only</w:t>
            </w:r>
          </w:p>
        </w:tc>
        <w:tc>
          <w:tcPr>
            <w:tcW w:type="dxa" w:w="5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Cannot model Lindab, Spiroware or trunk-and-branch systems; limits addressable market</w:t>
            </w:r>
          </w:p>
        </w:tc>
        <w:tc>
          <w:tcPr>
            <w:tcW w:type="dxa" w:w="176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1B4F72"/>
                <w:sz w:val="18"/>
                <w:szCs w:val="18"/>
              </w:rPr>
              <w:t xml:space="preserve">Phase 3</w:t>
            </w:r>
          </w:p>
        </w:tc>
      </w:tr>
      <w:tr>
        <w:tc>
          <w:tcPr>
            <w:tcW w:type="dxa" w:w="24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6C3483"/>
                <w:sz w:val="18"/>
                <w:szCs w:val="18"/>
              </w:rPr>
              <w:t xml:space="preserve">No supplier data import</w:t>
            </w:r>
          </w:p>
        </w:tc>
        <w:tc>
          <w:tcPr>
            <w:tcW w:type="dxa" w:w="5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Each new manufacturer requires manual database work; blocks partner channel growth</w:t>
            </w:r>
          </w:p>
        </w:tc>
        <w:tc>
          <w:tcPr>
            <w:tcW w:type="dxa" w:w="176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6C3483"/>
                <w:sz w:val="18"/>
                <w:szCs w:val="18"/>
              </w:rPr>
              <w:t xml:space="preserve">Phase 4</w:t>
            </w:r>
          </w:p>
        </w:tc>
      </w:tr>
      <w:tr>
        <w:tc>
          <w:tcPr>
            <w:tcW w:type="dxa" w:w="24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D35400"/>
                <w:sz w:val="18"/>
                <w:szCs w:val="18"/>
              </w:rPr>
              <w:t xml:space="preserve">Company backend built, no frontend</w:t>
            </w:r>
          </w:p>
        </w:tc>
        <w:tc>
          <w:tcPr>
            <w:tcW w:type="dxa" w:w="5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Teams signed up but have no dashboard; the multi-user value proposition is invisible</w:t>
            </w:r>
          </w:p>
        </w:tc>
        <w:tc>
          <w:tcPr>
            <w:tcW w:type="dxa" w:w="176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D35400"/>
                <w:sz w:val="18"/>
                <w:szCs w:val="18"/>
              </w:rPr>
              <w:t xml:space="preserve">Phase 5</w:t>
            </w:r>
          </w:p>
        </w:tc>
      </w:tr>
      <w:tr>
        <w:tc>
          <w:tcPr>
            <w:tcW w:type="dxa" w:w="24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B7950B"/>
                <w:sz w:val="18"/>
                <w:szCs w:val="18"/>
              </w:rPr>
              <w:t xml:space="preserve">No feature gating by tier</w:t>
            </w:r>
          </w:p>
        </w:tc>
        <w:tc>
          <w:tcPr>
            <w:tcW w:type="dxa" w:w="5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Credits are the only monetisation lever; AI features have no premium pricing</w:t>
            </w:r>
          </w:p>
        </w:tc>
        <w:tc>
          <w:tcPr>
            <w:tcW w:type="dxa" w:w="176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B7950B"/>
                <w:sz w:val="18"/>
                <w:szCs w:val="18"/>
              </w:rPr>
              <w:t xml:space="preserve">Phase 6</w:t>
            </w:r>
          </w:p>
        </w:tc>
      </w:tr>
      <w:tr>
        <w:tc>
          <w:tcPr>
            <w:tcW w:type="dxa" w:w="24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4D5656"/>
                <w:sz w:val="18"/>
                <w:szCs w:val="18"/>
              </w:rPr>
              <w:t xml:space="preserve">Monolithic HTML file</w:t>
            </w:r>
          </w:p>
        </w:tc>
        <w:tc>
          <w:tcPr>
            <w:tcW w:type="dxa" w:w="5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Cannot tree-shake, code-split, or test; maintainability risk as features grow</w:t>
            </w:r>
          </w:p>
        </w:tc>
        <w:tc>
          <w:tcPr>
            <w:tcW w:type="dxa" w:w="176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4D5656"/>
                <w:sz w:val="18"/>
                <w:szCs w:val="18"/>
              </w:rPr>
              <w:t xml:space="preserve">Ongoing refactor</w:t>
            </w:r>
          </w:p>
        </w:tc>
      </w:tr>
      <w:tr>
        <w:tc>
          <w:tcPr>
            <w:tcW w:type="dxa" w:w="24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4D5656"/>
                <w:sz w:val="18"/>
                <w:szCs w:val="18"/>
              </w:rPr>
              <w:t xml:space="preserve">No climate zone support</w:t>
            </w:r>
          </w:p>
        </w:tc>
        <w:tc>
          <w:tcPr>
            <w:tcW w:type="dxa" w:w="5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Australian climate zones 1–8 drive different design standards; tool cannot auto-select appropriate standard</w:t>
            </w:r>
          </w:p>
        </w:tc>
        <w:tc>
          <w:tcPr>
            <w:tcW w:type="dxa" w:w="176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4D5656"/>
                <w:sz w:val="18"/>
                <w:szCs w:val="18"/>
              </w:rPr>
              <w:t xml:space="preserve">Phase 2+</w:t>
            </w:r>
          </w:p>
        </w:tc>
      </w:tr>
      <w:tr>
        <w:tc>
          <w:tcPr>
            <w:tcW w:type="dxa" w:w="24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4D5656"/>
                <w:sz w:val="18"/>
                <w:szCs w:val="18"/>
              </w:rPr>
              <w:t xml:space="preserve">BOM has no live pricing</w:t>
            </w:r>
          </w:p>
        </w:tc>
        <w:tc>
          <w:tcPr>
            <w:tcW w:type="dxa" w:w="5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BOM is a count of duct runs; no supplier pricing, no cost estimate</w:t>
            </w:r>
          </w:p>
        </w:tc>
        <w:tc>
          <w:tcPr>
            <w:tcW w:type="dxa" w:w="176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4D5656"/>
                <w:sz w:val="18"/>
                <w:szCs w:val="18"/>
              </w:rPr>
              <w:t xml:space="preserve">Phase 4+</w:t>
            </w:r>
          </w:p>
        </w:tc>
      </w:tr>
    </w:tbl>
    <w:p>
      <w:pPr>
        <w:spacing w:after="100" w:before="0"/>
      </w:pPr>
      <w:r>
        <w:t xml:space="preserve"/>
      </w:r>
    </w:p>
    <w:p>
      <w:r>
        <w:br w:type="page"/>
      </w:r>
    </w:p>
    <w:p>
      <w:pPr>
        <w:pStyle w:val="Heading1"/>
        <w:pBdr>
          <w:bottom w:val="single" w:color="148F77" w:sz="6" w:space="4"/>
        </w:pBdr>
        <w:spacing w:after="140" w:before="400"/>
      </w:pPr>
      <w:r>
        <w:rPr>
          <w:rFonts w:ascii="Arial" w:cs="Arial" w:eastAsia="Arial" w:hAnsi="Arial"/>
          <w:b/>
          <w:bCs/>
          <w:color w:val="148F77"/>
          <w:sz w:val="34"/>
          <w:szCs w:val="34"/>
        </w:rPr>
        <w:t xml:space="preserve">3. Phase 1 — AI Plan Analysis</w:t>
      </w:r>
    </w:p>
    <w:p>
      <w:pPr>
        <w:spacing w:after="80" w:before="0"/>
      </w:pPr>
      <w:r>
        <w:rPr>
          <w:rFonts w:ascii="Arial" w:cs="Arial" w:eastAsia="Arial" w:hAnsi="Arial"/>
          <w:sz w:val="20"/>
          <w:szCs w:val="20"/>
        </w:rPr>
        <w:t xml:space="preserve">This is the highest-value feature in the roadmap. It removes the largest friction point in the workflow and is the clearest demonstration of AI differentiation over spreadsheet tools.</w:t>
      </w:r>
    </w:p>
    <w:p>
      <w:pPr>
        <w:spacing w:after="100" w:before="0"/>
      </w:pPr>
      <w:r>
        <w:t xml:space="preserve"/>
      </w:r>
    </w:p>
    <w:p>
      <w:pPr>
        <w:pStyle w:val="Heading2"/>
        <w:spacing w:after="80" w:before="300"/>
      </w:pPr>
      <w:r>
        <w:rPr>
          <w:rFonts w:ascii="Arial" w:cs="Arial" w:eastAsia="Arial" w:hAnsi="Arial"/>
          <w:b/>
          <w:bCs/>
          <w:color w:val="1B4F72"/>
          <w:sz w:val="26"/>
          <w:szCs w:val="26"/>
        </w:rPr>
        <w:t xml:space="preserve">3.1 User Workflow</w:t>
      </w:r>
    </w:p>
    <w:p>
      <w:pPr>
        <w:pStyle w:val="ListParagraph"/>
        <w:numPr>
          <w:ilvl w:val="0"/>
          <w:numId w:val="2"/>
        </w:numPr>
        <w:spacing w:after="50" w:before="0"/>
      </w:pPr>
      <w:r>
        <w:rPr>
          <w:rFonts w:ascii="Arial" w:cs="Arial" w:eastAsia="Arial" w:hAnsi="Arial"/>
          <w:color w:val="000000"/>
          <w:sz w:val="20"/>
          <w:szCs w:val="20"/>
        </w:rPr>
        <w:t xml:space="preserve">User opens a new project and uploads a floor plan (PDF, PNG, JPG, or DXF export)</w:t>
      </w:r>
    </w:p>
    <w:p>
      <w:pPr>
        <w:pStyle w:val="ListParagraph"/>
        <w:numPr>
          <w:ilvl w:val="0"/>
          <w:numId w:val="2"/>
        </w:numPr>
        <w:spacing w:after="50" w:before="0"/>
      </w:pPr>
      <w:r>
        <w:rPr>
          <w:rFonts w:ascii="Arial" w:cs="Arial" w:eastAsia="Arial" w:hAnsi="Arial"/>
          <w:color w:val="000000"/>
          <w:sz w:val="20"/>
          <w:szCs w:val="20"/>
        </w:rPr>
        <w:t xml:space="preserve">The platform sends the image to an AI vision model with a structured extraction prompt</w:t>
      </w:r>
    </w:p>
    <w:p>
      <w:pPr>
        <w:pStyle w:val="ListParagraph"/>
        <w:numPr>
          <w:ilvl w:val="0"/>
          <w:numId w:val="2"/>
        </w:numPr>
        <w:spacing w:after="50" w:before="0"/>
      </w:pPr>
      <w:r>
        <w:rPr>
          <w:rFonts w:ascii="Arial" w:cs="Arial" w:eastAsia="Arial" w:hAnsi="Arial"/>
          <w:color w:val="000000"/>
          <w:sz w:val="20"/>
          <w:szCs w:val="20"/>
        </w:rPr>
        <w:t xml:space="preserve">The AI returns a JSON object: rooms with name, type, estimated area, estimated volume, floor level</w:t>
      </w:r>
    </w:p>
    <w:p>
      <w:pPr>
        <w:pStyle w:val="ListParagraph"/>
        <w:numPr>
          <w:ilvl w:val="0"/>
          <w:numId w:val="2"/>
        </w:numPr>
        <w:spacing w:after="50" w:before="0"/>
      </w:pPr>
      <w:r>
        <w:rPr>
          <w:rFonts w:ascii="Arial" w:cs="Arial" w:eastAsia="Arial" w:hAnsi="Arial"/>
          <w:color w:val="000000"/>
          <w:sz w:val="20"/>
          <w:szCs w:val="20"/>
        </w:rPr>
        <w:t xml:space="preserve">The system auto-populates the room schedule — supply rooms and extract rooms — with recommended airflow defaults applied per room type</w:t>
      </w:r>
    </w:p>
    <w:p>
      <w:pPr>
        <w:pStyle w:val="ListParagraph"/>
        <w:numPr>
          <w:ilvl w:val="0"/>
          <w:numId w:val="2"/>
        </w:numPr>
        <w:spacing w:after="50" w:before="0"/>
      </w:pPr>
      <w:r>
        <w:rPr>
          <w:rFonts w:ascii="Arial" w:cs="Arial" w:eastAsia="Arial" w:hAnsi="Arial"/>
          <w:color w:val="000000"/>
          <w:sz w:val="20"/>
          <w:szCs w:val="20"/>
        </w:rPr>
        <w:t xml:space="preserve">The user reviews, edits, and confirms. They can drag rooms between supply/extract, rename them, adjust areas.</w:t>
      </w:r>
    </w:p>
    <w:p>
      <w:pPr>
        <w:pStyle w:val="ListParagraph"/>
        <w:numPr>
          <w:ilvl w:val="0"/>
          <w:numId w:val="2"/>
        </w:numPr>
        <w:spacing w:after="50" w:before="0"/>
      </w:pPr>
      <w:r>
        <w:rPr>
          <w:rFonts w:ascii="Arial" w:cs="Arial" w:eastAsia="Arial" w:hAnsi="Arial"/>
          <w:color w:val="000000"/>
          <w:sz w:val="20"/>
          <w:szCs w:val="20"/>
        </w:rPr>
        <w:t xml:space="preserve">On confirmation, the standard design calculation runs automatically</w:t>
      </w:r>
    </w:p>
    <w:p>
      <w:pPr>
        <w:spacing w:after="200" w:before="0"/>
      </w:pPr>
      <w:r>
        <w:t xml:space="preserve"/>
      </w:r>
    </w:p>
    <w:p>
      <w:pPr>
        <w:pStyle w:val="Heading2"/>
        <w:spacing w:after="80" w:before="300"/>
      </w:pPr>
      <w:r>
        <w:rPr>
          <w:rFonts w:ascii="Arial" w:cs="Arial" w:eastAsia="Arial" w:hAnsi="Arial"/>
          <w:b/>
          <w:bCs/>
          <w:color w:val="1B4F72"/>
          <w:sz w:val="26"/>
          <w:szCs w:val="26"/>
        </w:rPr>
        <w:t xml:space="preserve">3.2 AI Model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700"/>
        <w:gridCol w:w="1800"/>
        <w:gridCol w:w="2760"/>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Model</w:t>
            </w:r>
          </w:p>
        </w:tc>
        <w:tc>
          <w:tcPr>
            <w:tcW w:type="dxa" w:w="9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Vision?</w:t>
            </w:r>
          </w:p>
        </w:tc>
        <w:tc>
          <w:tcPr>
            <w:tcW w:type="dxa" w:w="17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Accuracy</w:t>
            </w:r>
          </w:p>
        </w:tc>
        <w:tc>
          <w:tcPr>
            <w:tcW w:type="dxa" w:w="18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Cost / Analysis</w:t>
            </w:r>
          </w:p>
        </w:tc>
        <w:tc>
          <w:tcPr>
            <w:tcW w:type="dxa" w:w="276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Recommendation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Claude 3.5 Sonnet</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148F77"/>
                <w:sz w:val="18"/>
                <w:szCs w:val="18"/>
              </w:rPr>
              <w:t xml:space="preserve">Yes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Excellent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~$0.10–0.25</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 Recommended — best structured JSON output, best at reading text labels on plans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Claude 3 Haiku</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148F77"/>
                <w:sz w:val="18"/>
                <w:szCs w:val="18"/>
              </w:rPr>
              <w:t xml:space="preserve">Yes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Good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~$0.01–0.05</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Good for simple plans; may struggle with complex multi-storey or hand-drawn plans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GPT-4o</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148F77"/>
                <w:sz w:val="18"/>
                <w:szCs w:val="18"/>
              </w:rPr>
              <w:t xml:space="preserve">Yes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Excellent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~$0.10–0.30</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Strong alternative; slightly higher cost; good JSON fidelity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Gemini 1.5 Pro</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148F77"/>
                <w:sz w:val="18"/>
                <w:szCs w:val="18"/>
              </w:rPr>
              <w:t xml:space="preserve">Yes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Good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~$0.05–0.15</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Best at large PDF context (long floor plans); worth testing for multi-page PDFs</w:t>
            </w:r>
          </w:p>
        </w:tc>
      </w:tr>
    </w:tbl>
    <w:p>
      <w:pPr>
        <w:spacing w:after="100" w:before="0"/>
      </w:pPr>
      <w:r>
        <w:t xml:space="preserve"/>
      </w:r>
    </w:p>
    <w:p>
      <w:pPr>
        <w:spacing w:after="80" w:before="0"/>
      </w:pPr>
      <w:r>
        <w:rPr>
          <w:rFonts w:ascii="Arial" w:cs="Arial" w:eastAsia="Arial" w:hAnsi="Arial"/>
          <w:sz w:val="20"/>
          <w:szCs w:val="20"/>
        </w:rPr>
        <w:t xml:space="preserve">Use Claude 3.5 Sonnet as primary, Claude 3 Haiku as a cost-optimised fallback for users on lower tiers. The credit cost for AI analysis should be 3–5 credits (priced to cover ~$0.20 API cost with margin).</w:t>
      </w:r>
    </w:p>
    <w:p>
      <w:pPr>
        <w:spacing w:after="200" w:before="0"/>
      </w:pPr>
      <w:r>
        <w:t xml:space="preserve"/>
      </w:r>
    </w:p>
    <w:p>
      <w:pPr>
        <w:pStyle w:val="Heading2"/>
        <w:spacing w:after="80" w:before="300"/>
      </w:pPr>
      <w:r>
        <w:rPr>
          <w:rFonts w:ascii="Arial" w:cs="Arial" w:eastAsia="Arial" w:hAnsi="Arial"/>
          <w:b/>
          <w:bCs/>
          <w:color w:val="1B4F72"/>
          <w:sz w:val="26"/>
          <w:szCs w:val="26"/>
        </w:rPr>
        <w:t xml:space="preserve">3.3 Technical Architecture</w:t>
      </w:r>
    </w:p>
    <w:p>
      <w:pPr>
        <w:pStyle w:val="Heading3"/>
        <w:spacing w:after="60" w:before="200"/>
      </w:pPr>
      <w:r>
        <w:rPr>
          <w:rFonts w:ascii="Arial" w:cs="Arial" w:eastAsia="Arial" w:hAnsi="Arial"/>
          <w:b/>
          <w:bCs/>
          <w:color w:val="4D5656"/>
          <w:sz w:val="22"/>
          <w:szCs w:val="22"/>
        </w:rPr>
        <w:t xml:space="preserve">Upload Pipeline</w:t>
      </w:r>
    </w:p>
    <w:p>
      <w:pPr>
        <w:pStyle w:val="ListParagraph"/>
        <w:numPr>
          <w:ilvl w:val="0"/>
          <w:numId w:val="2"/>
        </w:numPr>
        <w:spacing w:after="50" w:before="0"/>
      </w:pPr>
      <w:r>
        <w:rPr>
          <w:rFonts w:ascii="Arial" w:cs="Arial" w:eastAsia="Arial" w:hAnsi="Arial"/>
          <w:color w:val="000000"/>
          <w:sz w:val="20"/>
          <w:szCs w:val="20"/>
        </w:rPr>
        <w:t xml:space="preserve">Client uploads file to Supabase Storage bucket plan-images (already exists) via signed upload URL</w:t>
      </w:r>
    </w:p>
    <w:p>
      <w:pPr>
        <w:pStyle w:val="ListParagraph"/>
        <w:numPr>
          <w:ilvl w:val="0"/>
          <w:numId w:val="2"/>
        </w:numPr>
        <w:spacing w:after="50" w:before="0"/>
      </w:pPr>
      <w:r>
        <w:rPr>
          <w:rFonts w:ascii="Arial" w:cs="Arial" w:eastAsia="Arial" w:hAnsi="Arial"/>
          <w:color w:val="000000"/>
          <w:sz w:val="20"/>
          <w:szCs w:val="20"/>
        </w:rPr>
        <w:t xml:space="preserve">Client calls POST /api/ai/analyse-plan { projectId, storagePath, storeyIndex }</w:t>
      </w:r>
    </w:p>
    <w:p>
      <w:pPr>
        <w:pStyle w:val="ListParagraph"/>
        <w:numPr>
          <w:ilvl w:val="0"/>
          <w:numId w:val="2"/>
        </w:numPr>
        <w:spacing w:after="50" w:before="0"/>
      </w:pPr>
      <w:r>
        <w:rPr>
          <w:rFonts w:ascii="Arial" w:cs="Arial" w:eastAsia="Arial" w:hAnsi="Arial"/>
          <w:color w:val="000000"/>
          <w:sz w:val="20"/>
          <w:szCs w:val="20"/>
        </w:rPr>
        <w:t xml:space="preserve">Serverless function downloads the image, converts PDF page to PNG if needed (using pdf2pic or a Vercel-compatible library), sends to Claude Vision API</w:t>
      </w:r>
    </w:p>
    <w:p>
      <w:pPr>
        <w:pStyle w:val="ListParagraph"/>
        <w:numPr>
          <w:ilvl w:val="0"/>
          <w:numId w:val="2"/>
        </w:numPr>
        <w:spacing w:after="50" w:before="0"/>
      </w:pPr>
      <w:r>
        <w:rPr>
          <w:rFonts w:ascii="Arial" w:cs="Arial" w:eastAsia="Arial" w:hAnsi="Arial"/>
          <w:color w:val="000000"/>
          <w:sz w:val="20"/>
          <w:szCs w:val="20"/>
        </w:rPr>
        <w:t xml:space="preserve">Response is parsed, validated, and stored in projects.ai_analysis_json</w:t>
      </w:r>
    </w:p>
    <w:p>
      <w:pPr>
        <w:pStyle w:val="ListParagraph"/>
        <w:numPr>
          <w:ilvl w:val="0"/>
          <w:numId w:val="2"/>
        </w:numPr>
        <w:spacing w:after="50" w:before="0"/>
      </w:pPr>
      <w:r>
        <w:rPr>
          <w:rFonts w:ascii="Arial" w:cs="Arial" w:eastAsia="Arial" w:hAnsi="Arial"/>
          <w:color w:val="000000"/>
          <w:sz w:val="20"/>
          <w:szCs w:val="20"/>
        </w:rPr>
        <w:t xml:space="preserve">Credits are deducted (new operation: ai_plan_analysis, cost: 3 credits)</w:t>
      </w:r>
    </w:p>
    <w:p>
      <w:pPr>
        <w:spacing w:after="100" w:before="0"/>
      </w:pPr>
      <w:r>
        <w:t xml:space="preserve"/>
      </w:r>
    </w:p>
    <w:p>
      <w:pPr>
        <w:pStyle w:val="Heading3"/>
        <w:spacing w:after="60" w:before="200"/>
      </w:pPr>
      <w:r>
        <w:rPr>
          <w:rFonts w:ascii="Arial" w:cs="Arial" w:eastAsia="Arial" w:hAnsi="Arial"/>
          <w:b/>
          <w:bCs/>
          <w:color w:val="4D5656"/>
          <w:sz w:val="22"/>
          <w:szCs w:val="22"/>
        </w:rPr>
        <w:t xml:space="preserve">AI Extraction Prompt (System Prompt Template)</w:t>
      </w:r>
    </w:p>
    <w:p>
      <w:pPr>
        <w:shd w:fill="F2F3F4" w:val="clear"/>
        <w:spacing w:after="0" w:before="0"/>
        <w:ind w:left="360"/>
      </w:pPr>
      <w:r>
        <w:rPr>
          <w:rFonts w:ascii="Courier New" w:cs="Courier New" w:eastAsia="Courier New" w:hAnsi="Courier New"/>
          <w:sz w:val="16"/>
          <w:szCs w:val="16"/>
        </w:rPr>
        <w:t xml:space="preserve">You are an MVHR design assistant. Analyse this residential floor plan image.</w:t>
      </w:r>
    </w:p>
    <w:p>
      <w:pPr>
        <w:shd w:fill="F2F3F4" w:val="clear"/>
        <w:spacing w:after="0" w:before="0"/>
        <w:ind w:left="360"/>
      </w:pPr>
      <w:r>
        <w:rPr>
          <w:rFonts w:ascii="Courier New" w:cs="Courier New" w:eastAsia="Courier New" w:hAnsi="Courier New"/>
          <w:sz w:val="16"/>
          <w:szCs w:val="16"/>
        </w:rPr>
        <w:t xml:space="preserve">Return ONLY valid JSON with this structure:</w:t>
      </w:r>
    </w:p>
    <w:p>
      <w:pPr>
        <w:shd w:fill="F2F3F4" w:val="clear"/>
        <w:spacing w:after="0" w:before="0"/>
        <w:ind w:left="360"/>
      </w:pPr>
      <w:r>
        <w:rPr>
          <w:rFonts w:ascii="Courier New" w:cs="Courier New" w:eastAsia="Courier New" w:hAnsi="Courier New"/>
          <w:sz w:val="16"/>
          <w:szCs w:val="16"/>
        </w:rPr>
        <w:t xml:space="preserve">{ "rooms": [{ "name": "Master Bedroom", "type": "Master Bedroom",</w:t>
      </w:r>
    </w:p>
    <w:p>
      <w:pPr>
        <w:shd w:fill="F2F3F4" w:val="clear"/>
        <w:spacing w:after="0" w:before="0"/>
        <w:ind w:left="360"/>
      </w:pPr>
      <w:r>
        <w:rPr>
          <w:rFonts w:ascii="Courier New" w:cs="Courier New" w:eastAsia="Courier New" w:hAnsi="Courier New"/>
          <w:sz w:val="16"/>
          <w:szCs w:val="16"/>
        </w:rPr>
        <w:t xml:space="preserve">  "area_m2": 14.5, "ceiling_height_m": 2.7, "floor": 0,</w:t>
      </w:r>
    </w:p>
    <w:p>
      <w:pPr>
        <w:shd w:fill="F2F3F4" w:val="clear"/>
        <w:spacing w:after="0" w:before="0"/>
        <w:ind w:left="360"/>
      </w:pPr>
      <w:r>
        <w:rPr>
          <w:rFonts w:ascii="Courier New" w:cs="Courier New" w:eastAsia="Courier New" w:hAnsi="Courier New"/>
          <w:sz w:val="16"/>
          <w:szCs w:val="16"/>
        </w:rPr>
        <w:t xml:space="preserve">  "supply_or_extract": "supply", "confidence": 0.9 }] }</w:t>
      </w:r>
    </w:p>
    <w:p>
      <w:pPr>
        <w:shd w:fill="F2F3F4" w:val="clear"/>
        <w:spacing w:after="80" w:before="0"/>
        <w:ind w:left="360"/>
      </w:pPr>
      <w:r>
        <w:rPr>
          <w:rFonts w:ascii="Courier New" w:cs="Courier New" w:eastAsia="Courier New" w:hAnsi="Courier New"/>
          <w:sz w:val="16"/>
          <w:szCs w:val="16"/>
        </w:rPr>
        <w:t xml:space="preserve">Room types: Bedroom/Master Bedroom/Kitchen/Bathroom/Laundry/WC/Living Room/Study/Hallway/Other</w:t>
      </w:r>
    </w:p>
    <w:p>
      <w:pPr>
        <w:pStyle w:val="Heading3"/>
        <w:spacing w:after="60" w:before="200"/>
      </w:pPr>
      <w:r>
        <w:rPr>
          <w:rFonts w:ascii="Arial" w:cs="Arial" w:eastAsia="Arial" w:hAnsi="Arial"/>
          <w:b/>
          <w:bCs/>
          <w:color w:val="4D5656"/>
          <w:sz w:val="22"/>
          <w:szCs w:val="22"/>
        </w:rPr>
        <w:t xml:space="preserve">Estimated API Cost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900"/>
        <w:gridCol w:w="1900"/>
        <w:gridCol w:w="1460"/>
      </w:tblGrid>
      <w:tr>
        <w:trPr>
          <w:tblHeader/>
        </w:trPr>
        <w:tc>
          <w:tcPr>
            <w:tcW w:type="dxa" w:w="26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Usage Scenario</w:t>
            </w:r>
          </w:p>
        </w:tc>
        <w:tc>
          <w:tcPr>
            <w:tcW w:type="dxa" w:w="15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Plans/Month</w:t>
            </w:r>
          </w:p>
        </w:tc>
        <w:tc>
          <w:tcPr>
            <w:tcW w:type="dxa" w:w="19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API Cost/Month</w:t>
            </w:r>
          </w:p>
        </w:tc>
        <w:tc>
          <w:tcPr>
            <w:tcW w:type="dxa" w:w="19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Credits Charged</w:t>
            </w:r>
          </w:p>
        </w:tc>
        <w:tc>
          <w:tcPr>
            <w:tcW w:type="dxa" w:w="146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Revenue at $349/10cr</w:t>
            </w:r>
          </w:p>
        </w:tc>
      </w:tr>
      <w:tr>
        <w:tc>
          <w:tcPr>
            <w:tcW w:type="dxa" w:w="26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Small studio (1 storey)</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50</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$5–$12</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150 cr (50×3)</w:t>
            </w:r>
          </w:p>
        </w:tc>
        <w:tc>
          <w:tcPr>
            <w:tcW w:type="dxa" w:w="1460"/>
            <w:tcBorders>
              <w:top w:val="single" w:color="CCCCCC" w:sz="1"/>
              <w:left w:val="single" w:color="CCCCCC" w:sz="1"/>
              <w:bottom w:val="single" w:color="CCCCCC" w:sz="1"/>
              <w:right w:val="single" w:color="CCCCCC" w:sz="1"/>
            </w:tcBorders>
            <w:shd w:fill="D5F5E3"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1E8449"/>
                <w:sz w:val="18"/>
                <w:szCs w:val="18"/>
              </w:rPr>
              <w:t xml:space="preserve">$524</w:t>
            </w:r>
          </w:p>
        </w:tc>
      </w:tr>
      <w:tr>
        <w:tc>
          <w:tcPr>
            <w:tcW w:type="dxa" w:w="26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Active consultancy (3 storeys avg)</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200</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$60–$150</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600 cr (200×3)</w:t>
            </w:r>
          </w:p>
        </w:tc>
        <w:tc>
          <w:tcPr>
            <w:tcW w:type="dxa" w:w="1460"/>
            <w:tcBorders>
              <w:top w:val="single" w:color="CCCCCC" w:sz="1"/>
              <w:left w:val="single" w:color="CCCCCC" w:sz="1"/>
              <w:bottom w:val="single" w:color="CCCCCC" w:sz="1"/>
              <w:right w:val="single" w:color="CCCCCC" w:sz="1"/>
            </w:tcBorders>
            <w:shd w:fill="D5F5E3"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1E8449"/>
                <w:sz w:val="18"/>
                <w:szCs w:val="18"/>
              </w:rPr>
              <w:t xml:space="preserve">$2,094</w:t>
            </w:r>
          </w:p>
        </w:tc>
      </w:tr>
      <w:tr>
        <w:tc>
          <w:tcPr>
            <w:tcW w:type="dxa" w:w="26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Enterprise (daily use)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1000</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$250–$600</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3,000 cr</w:t>
            </w:r>
          </w:p>
        </w:tc>
        <w:tc>
          <w:tcPr>
            <w:tcW w:type="dxa" w:w="1460"/>
            <w:tcBorders>
              <w:top w:val="single" w:color="CCCCCC" w:sz="1"/>
              <w:left w:val="single" w:color="CCCCCC" w:sz="1"/>
              <w:bottom w:val="single" w:color="CCCCCC" w:sz="1"/>
              <w:right w:val="single" w:color="CCCCCC" w:sz="1"/>
            </w:tcBorders>
            <w:shd w:fill="D5F5E3"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1E8449"/>
                <w:sz w:val="18"/>
                <w:szCs w:val="18"/>
              </w:rPr>
              <w:t xml:space="preserve">$10,470</w:t>
            </w:r>
          </w:p>
        </w:tc>
      </w:tr>
    </w:tbl>
    <w:p>
      <w:pPr>
        <w:spacing w:after="200" w:before="0"/>
      </w:pPr>
      <w:r>
        <w:t xml:space="preserve"/>
      </w:r>
    </w:p>
    <w:p>
      <w:pPr>
        <w:pStyle w:val="Heading2"/>
        <w:spacing w:after="80" w:before="300"/>
      </w:pPr>
      <w:r>
        <w:rPr>
          <w:rFonts w:ascii="Arial" w:cs="Arial" w:eastAsia="Arial" w:hAnsi="Arial"/>
          <w:b/>
          <w:bCs/>
          <w:color w:val="1B4F72"/>
          <w:sz w:val="26"/>
          <w:szCs w:val="26"/>
        </w:rPr>
        <w:t xml:space="preserve">3.4 Database Changes Required</w:t>
      </w:r>
    </w:p>
    <w:p>
      <w:pPr>
        <w:pStyle w:val="ListParagraph"/>
        <w:numPr>
          <w:ilvl w:val="0"/>
          <w:numId w:val="2"/>
        </w:numPr>
        <w:spacing w:after="50" w:before="0"/>
      </w:pPr>
      <w:r>
        <w:rPr>
          <w:rFonts w:ascii="Arial" w:cs="Arial" w:eastAsia="Arial" w:hAnsi="Arial"/>
          <w:color w:val="000000"/>
          <w:sz w:val="20"/>
          <w:szCs w:val="20"/>
        </w:rPr>
        <w:t xml:space="preserve">projects: add ai_analysis_json jsonb — stores raw AI response and user-confirmed room list</w:t>
      </w:r>
    </w:p>
    <w:p>
      <w:pPr>
        <w:pStyle w:val="ListParagraph"/>
        <w:numPr>
          <w:ilvl w:val="0"/>
          <w:numId w:val="2"/>
        </w:numPr>
        <w:spacing w:after="50" w:before="0"/>
      </w:pPr>
      <w:r>
        <w:rPr>
          <w:rFonts w:ascii="Arial" w:cs="Arial" w:eastAsia="Arial" w:hAnsi="Arial"/>
          <w:color w:val="000000"/>
          <w:sz w:val="20"/>
          <w:szCs w:val="20"/>
        </w:rPr>
        <w:t xml:space="preserve">projects: add climate_zone text — e.g. "1", "6", "Alpine" for Australian standards</w:t>
      </w:r>
    </w:p>
    <w:p>
      <w:pPr>
        <w:pStyle w:val="ListParagraph"/>
        <w:numPr>
          <w:ilvl w:val="0"/>
          <w:numId w:val="2"/>
        </w:numPr>
        <w:spacing w:after="50" w:before="0"/>
      </w:pPr>
      <w:r>
        <w:rPr>
          <w:rFonts w:ascii="Arial" w:cs="Arial" w:eastAsia="Arial" w:hAnsi="Arial"/>
          <w:color w:val="000000"/>
          <w:sz w:val="20"/>
          <w:szCs w:val="20"/>
        </w:rPr>
        <w:t xml:space="preserve">operation_costs: add ai_plan_analysis row (3 credits, "AI Floor Plan Analysis", level 2)</w:t>
      </w:r>
    </w:p>
    <w:p>
      <w:pPr>
        <w:pStyle w:val="ListParagraph"/>
        <w:numPr>
          <w:ilvl w:val="0"/>
          <w:numId w:val="2"/>
        </w:numPr>
        <w:spacing w:after="50" w:before="0"/>
      </w:pPr>
      <w:r>
        <w:rPr>
          <w:rFonts w:ascii="Arial" w:cs="Arial" w:eastAsia="Arial" w:hAnsi="Arial"/>
          <w:color w:val="000000"/>
          <w:sz w:val="20"/>
          <w:szCs w:val="20"/>
        </w:rPr>
        <w:t xml:space="preserve">operation_costs: add ai_plan_analysis_storey row (1 credit, "Additional Storey Analysis", level 2)</w:t>
      </w:r>
    </w:p>
    <w:p>
      <w:pPr>
        <w:pStyle w:val="ListParagraph"/>
        <w:numPr>
          <w:ilvl w:val="0"/>
          <w:numId w:val="2"/>
        </w:numPr>
        <w:spacing w:after="50" w:before="0"/>
      </w:pPr>
      <w:r>
        <w:rPr>
          <w:rFonts w:ascii="Arial" w:cs="Arial" w:eastAsia="Arial" w:hAnsi="Arial"/>
          <w:color w:val="000000"/>
          <w:sz w:val="20"/>
          <w:szCs w:val="20"/>
        </w:rPr>
        <w:t xml:space="preserve">New table: plan_analysis_log — stores input image hash, model used, token counts, latency, for cost monitoring</w:t>
      </w:r>
    </w:p>
    <w:p>
      <w:pPr>
        <w:spacing w:after="200" w:before="0"/>
      </w:pPr>
      <w:r>
        <w:t xml:space="preserve"/>
      </w:r>
    </w:p>
    <w:p>
      <w:pPr>
        <w:pStyle w:val="Heading2"/>
        <w:spacing w:after="80" w:before="300"/>
      </w:pPr>
      <w:r>
        <w:rPr>
          <w:rFonts w:ascii="Arial" w:cs="Arial" w:eastAsia="Arial" w:hAnsi="Arial"/>
          <w:b/>
          <w:bCs/>
          <w:color w:val="1B4F72"/>
          <w:sz w:val="26"/>
          <w:szCs w:val="26"/>
        </w:rPr>
        <w:t xml:space="preserve">3.5 User Experience Notes</w:t>
      </w:r>
    </w:p>
    <w:p>
      <w:pPr>
        <w:pStyle w:val="ListParagraph"/>
        <w:numPr>
          <w:ilvl w:val="0"/>
          <w:numId w:val="2"/>
        </w:numPr>
        <w:spacing w:after="50" w:before="0"/>
      </w:pPr>
      <w:r>
        <w:rPr>
          <w:rFonts w:ascii="Arial" w:cs="Arial" w:eastAsia="Arial" w:hAnsi="Arial"/>
          <w:color w:val="000000"/>
          <w:sz w:val="20"/>
          <w:szCs w:val="20"/>
        </w:rPr>
        <w:t xml:space="preserve">Show a room-by-room confidence indicator (colour-coded). Low-confidence rooms are highlighted for user review.</w:t>
      </w:r>
    </w:p>
    <w:p>
      <w:pPr>
        <w:pStyle w:val="ListParagraph"/>
        <w:numPr>
          <w:ilvl w:val="0"/>
          <w:numId w:val="2"/>
        </w:numPr>
        <w:spacing w:after="50" w:before="0"/>
      </w:pPr>
      <w:r>
        <w:rPr>
          <w:rFonts w:ascii="Arial" w:cs="Arial" w:eastAsia="Arial" w:hAnsi="Arial"/>
          <w:color w:val="000000"/>
          <w:sz w:val="20"/>
          <w:szCs w:val="20"/>
        </w:rPr>
        <w:t xml:space="preserve">Allow the user to redraw or reassign rooms before committing credits. Show a preview of what will be populated before the credit is deducted.</w:t>
      </w:r>
    </w:p>
    <w:p>
      <w:pPr>
        <w:pStyle w:val="ListParagraph"/>
        <w:numPr>
          <w:ilvl w:val="0"/>
          <w:numId w:val="2"/>
        </w:numPr>
        <w:spacing w:after="50" w:before="0"/>
      </w:pPr>
      <w:r>
        <w:rPr>
          <w:rFonts w:ascii="Arial" w:cs="Arial" w:eastAsia="Arial" w:hAnsi="Arial"/>
          <w:color w:val="000000"/>
          <w:sz w:val="20"/>
          <w:szCs w:val="20"/>
        </w:rPr>
        <w:t xml:space="preserve">Provide a "Re-analyse" button that costs 1 additional credit (re_analyse operation) for edge cases.</w:t>
      </w:r>
    </w:p>
    <w:p>
      <w:pPr>
        <w:pStyle w:val="ListParagraph"/>
        <w:numPr>
          <w:ilvl w:val="0"/>
          <w:numId w:val="2"/>
        </w:numPr>
        <w:spacing w:after="50" w:before="0"/>
      </w:pPr>
      <w:r>
        <w:rPr>
          <w:rFonts w:ascii="Arial" w:cs="Arial" w:eastAsia="Arial" w:hAnsi="Arial"/>
          <w:color w:val="000000"/>
          <w:sz w:val="20"/>
          <w:szCs w:val="20"/>
        </w:rPr>
        <w:t xml:space="preserve">If the plan cannot be read (handwritten, very low resolution, blank), return a graceful error and do not deduct credits.</w:t>
      </w:r>
    </w:p>
    <w:p>
      <w:pPr>
        <w:spacing w:after="100" w:before="0"/>
      </w:pPr>
      <w:r>
        <w:t xml:space="preserve"/>
      </w:r>
    </w:p>
    <w:p>
      <w:r>
        <w:br w:type="page"/>
      </w:r>
    </w:p>
    <w:p>
      <w:pPr>
        <w:pStyle w:val="Heading1"/>
        <w:pBdr>
          <w:bottom w:val="single" w:color="1E8449" w:sz="6" w:space="4"/>
        </w:pBdr>
        <w:spacing w:after="140" w:before="400"/>
      </w:pPr>
      <w:r>
        <w:rPr>
          <w:rFonts w:ascii="Arial" w:cs="Arial" w:eastAsia="Arial" w:hAnsi="Arial"/>
          <w:b/>
          <w:bCs/>
          <w:color w:val="1E8449"/>
          <w:sz w:val="34"/>
          <w:szCs w:val="34"/>
        </w:rPr>
        <w:t xml:space="preserve">4. Phase 2 — Intelligent Unit Selection</w:t>
      </w:r>
    </w:p>
    <w:p>
      <w:pPr>
        <w:spacing w:after="80" w:before="0"/>
      </w:pPr>
      <w:r>
        <w:rPr>
          <w:rFonts w:ascii="Arial" w:cs="Arial" w:eastAsia="Arial" w:hAnsi="Arial"/>
          <w:sz w:val="20"/>
          <w:szCs w:val="20"/>
        </w:rPr>
        <w:t xml:space="preserve">The current unit selector is a flow-range filter sorted by HR efficiency. A multi-factor scoring system will dramatically increase the quality and trustworthiness of recommendations and reduce manual overrides.</w:t>
      </w:r>
    </w:p>
    <w:p>
      <w:pPr>
        <w:spacing w:after="100" w:before="0"/>
      </w:pPr>
      <w:r>
        <w:t xml:space="preserve"/>
      </w:r>
    </w:p>
    <w:p>
      <w:pPr>
        <w:pStyle w:val="Heading2"/>
        <w:spacing w:after="80" w:before="300"/>
      </w:pPr>
      <w:r>
        <w:rPr>
          <w:rFonts w:ascii="Arial" w:cs="Arial" w:eastAsia="Arial" w:hAnsi="Arial"/>
          <w:b/>
          <w:bCs/>
          <w:color w:val="1B4F72"/>
          <w:sz w:val="26"/>
          <w:szCs w:val="26"/>
        </w:rPr>
        <w:t xml:space="preserve">4.1 Scoring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3360"/>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Factor</w:t>
            </w:r>
          </w:p>
        </w:tc>
        <w:tc>
          <w:tcPr>
            <w:tcW w:type="dxa" w:w="22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Data Source</w:t>
            </w:r>
          </w:p>
        </w:tc>
        <w:tc>
          <w:tcPr>
            <w:tcW w:type="dxa" w:w="16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Weight (default)</w:t>
            </w:r>
          </w:p>
        </w:tc>
        <w:tc>
          <w:tcPr>
            <w:tcW w:type="dxa" w:w="336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Logic</w:t>
            </w:r>
          </w:p>
        </w:tc>
      </w:tr>
      <w:tr>
        <w:tc>
          <w:tcPr>
            <w:tcW w:type="dxa" w:w="22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Flow coverage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mvhr_units.flow_min/max</w:t>
            </w:r>
          </w:p>
        </w:tc>
        <w:tc>
          <w:tcPr>
            <w:tcW w:type="dxa" w:w="1600"/>
            <w:tcBorders>
              <w:top w:val="single" w:color="CCCCCC" w:sz="1"/>
              <w:left w:val="single" w:color="CCCCCC" w:sz="1"/>
              <w:bottom w:val="single" w:color="CCCCCC" w:sz="1"/>
              <w:right w:val="single" w:color="CCCCCC" w:sz="1"/>
            </w:tcBorders>
            <w:shd w:fill="D5F5E3"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1E8449"/>
                <w:sz w:val="18"/>
                <w:szCs w:val="18"/>
              </w:rPr>
              <w:t xml:space="preserve">Required gate</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Must contain design flow — units outside range are excluded entirely</w:t>
            </w:r>
          </w:p>
        </w:tc>
      </w:tr>
      <w:tr>
        <w:tc>
          <w:tcPr>
            <w:tcW w:type="dxa" w:w="22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Available pressure reserve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unit.ext_pressure − calculated system ΔP</w:t>
            </w:r>
          </w:p>
        </w:tc>
        <w:tc>
          <w:tcPr>
            <w:tcW w:type="dxa" w:w="1600"/>
            <w:tcBorders>
              <w:top w:val="single" w:color="CCCCCC" w:sz="1"/>
              <w:left w:val="single" w:color="CCCCCC" w:sz="1"/>
              <w:bottom w:val="single" w:color="CCCCCC" w:sz="1"/>
              <w:right w:val="single" w:color="CCCCCC" w:sz="1"/>
            </w:tcBorders>
            <w:shd w:fill="D5F5E3"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1E8449"/>
                <w:sz w:val="18"/>
                <w:szCs w:val="18"/>
              </w:rPr>
              <w:t xml:space="preserve">25%</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Higher reserve = better performance margin. ESP &gt; system ΔP+30% scores 100%.</w:t>
            </w:r>
          </w:p>
        </w:tc>
      </w:tr>
      <w:tr>
        <w:tc>
          <w:tcPr>
            <w:tcW w:type="dxa" w:w="22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Heat recovery efficiency</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unit.hr_eff</w:t>
            </w:r>
          </w:p>
        </w:tc>
        <w:tc>
          <w:tcPr>
            <w:tcW w:type="dxa" w:w="1600"/>
            <w:tcBorders>
              <w:top w:val="single" w:color="CCCCCC" w:sz="1"/>
              <w:left w:val="single" w:color="CCCCCC" w:sz="1"/>
              <w:bottom w:val="single" w:color="CCCCCC" w:sz="1"/>
              <w:right w:val="single" w:color="CCCCCC" w:sz="1"/>
            </w:tcBorders>
            <w:shd w:fill="D5F5E3"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1E8449"/>
                <w:sz w:val="18"/>
                <w:szCs w:val="18"/>
              </w:rPr>
              <w:t xml:space="preserve">20%</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Normalised to range of eligible units. 90%+ scores max.</w:t>
            </w:r>
          </w:p>
        </w:tc>
      </w:tr>
      <w:tr>
        <w:tc>
          <w:tcPr>
            <w:tcW w:type="dxa" w:w="22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Specific fan power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unit.sfp</w:t>
            </w:r>
          </w:p>
        </w:tc>
        <w:tc>
          <w:tcPr>
            <w:tcW w:type="dxa" w:w="1600"/>
            <w:tcBorders>
              <w:top w:val="single" w:color="CCCCCC" w:sz="1"/>
              <w:left w:val="single" w:color="CCCCCC" w:sz="1"/>
              <w:bottom w:val="single" w:color="CCCCCC" w:sz="1"/>
              <w:right w:val="single" w:color="CCCCCC" w:sz="1"/>
            </w:tcBorders>
            <w:shd w:fill="D5F5E3"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1E8449"/>
                <w:sz w:val="18"/>
                <w:szCs w:val="18"/>
              </w:rPr>
              <w:t xml:space="preserve">20%</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Lower is better. Inverted normalisation. ≤0.25 Wh/m³ scores max.</w:t>
            </w:r>
          </w:p>
        </w:tc>
      </w:tr>
      <w:tr>
        <w:tc>
          <w:tcPr>
            <w:tcW w:type="dxa" w:w="22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Sound power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unit.noise_supply / noise_extract</w:t>
            </w:r>
          </w:p>
        </w:tc>
        <w:tc>
          <w:tcPr>
            <w:tcW w:type="dxa" w:w="1600"/>
            <w:tcBorders>
              <w:top w:val="single" w:color="CCCCCC" w:sz="1"/>
              <w:left w:val="single" w:color="CCCCCC" w:sz="1"/>
              <w:bottom w:val="single" w:color="CCCCCC" w:sz="1"/>
              <w:right w:val="single" w:color="CCCCCC" w:sz="1"/>
            </w:tcBorders>
            <w:shd w:fill="D5F5E3"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1E8449"/>
                <w:sz w:val="18"/>
                <w:szCs w:val="18"/>
              </w:rPr>
              <w:t xml:space="preserve">15%</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Weighted average. ≤35 dB scores max. Scaled linearly to 55 dB (scores 0).</w:t>
            </w:r>
          </w:p>
        </w:tc>
      </w:tr>
      <w:tr>
        <w:tc>
          <w:tcPr>
            <w:tcW w:type="dxa" w:w="22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PHI certification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phi_cert_id present</w:t>
            </w:r>
          </w:p>
        </w:tc>
        <w:tc>
          <w:tcPr>
            <w:tcW w:type="dxa" w:w="1600"/>
            <w:tcBorders>
              <w:top w:val="single" w:color="CCCCCC" w:sz="1"/>
              <w:left w:val="single" w:color="CCCCCC" w:sz="1"/>
              <w:bottom w:val="single" w:color="CCCCCC" w:sz="1"/>
              <w:right w:val="single" w:color="CCCCCC" w:sz="1"/>
            </w:tcBorders>
            <w:shd w:fill="D5F5E3"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1E8449"/>
                <w:sz w:val="18"/>
                <w:szCs w:val="18"/>
              </w:rPr>
              <w:t xml:space="preserve">10%</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Binary: 1 if PHI certified, 0 otherwise</w:t>
            </w:r>
          </w:p>
        </w:tc>
      </w:tr>
      <w:tr>
        <w:tc>
          <w:tcPr>
            <w:tcW w:type="dxa" w:w="22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Humidity recovery</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unit.humidity_winter</w:t>
            </w:r>
          </w:p>
        </w:tc>
        <w:tc>
          <w:tcPr>
            <w:tcW w:type="dxa" w:w="1600"/>
            <w:tcBorders>
              <w:top w:val="single" w:color="CCCCCC" w:sz="1"/>
              <w:left w:val="single" w:color="CCCCCC" w:sz="1"/>
              <w:bottom w:val="single" w:color="CCCCCC" w:sz="1"/>
              <w:right w:val="single" w:color="CCCCCC" w:sz="1"/>
            </w:tcBorders>
            <w:shd w:fill="D5F5E3"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1E8449"/>
                <w:sz w:val="18"/>
                <w:szCs w:val="18"/>
              </w:rPr>
              <w:t xml:space="preserve">10%</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Relevant in climates 4–7. Optional weight, zeroed out in dry climates.</w:t>
            </w:r>
          </w:p>
        </w:tc>
      </w:tr>
    </w:tbl>
    <w:p>
      <w:pPr>
        <w:spacing w:after="200" w:before="0"/>
      </w:pPr>
      <w:r>
        <w:t xml:space="preserve"/>
      </w:r>
    </w:p>
    <w:p>
      <w:pPr>
        <w:pStyle w:val="Heading2"/>
        <w:spacing w:after="80" w:before="300"/>
      </w:pPr>
      <w:r>
        <w:rPr>
          <w:rFonts w:ascii="Arial" w:cs="Arial" w:eastAsia="Arial" w:hAnsi="Arial"/>
          <w:b/>
          <w:bCs/>
          <w:color w:val="1B4F72"/>
          <w:sz w:val="26"/>
          <w:szCs w:val="26"/>
        </w:rPr>
        <w:t xml:space="preserve">4.2 Four-Category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Category</w:t>
            </w:r>
          </w:p>
        </w:tc>
        <w:tc>
          <w:tcPr>
            <w:tcW w:type="dxa" w:w="44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Selection Logic</w:t>
            </w:r>
          </w:p>
        </w:tc>
        <w:tc>
          <w:tcPr>
            <w:tcW w:type="dxa" w:w="256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Target User</w:t>
            </w:r>
          </w:p>
        </w:tc>
      </w:tr>
      <w:tr>
        <w:tc>
          <w:tcPr>
            <w:tcW w:type="dxa" w:w="2400"/>
            <w:tcBorders>
              <w:top w:val="single" w:color="CCCCCC" w:sz="1"/>
              <w:left w:val="single" w:color="CCCCCC" w:sz="1"/>
              <w:bottom w:val="single" w:color="CCCCCC" w:sz="1"/>
              <w:right w:val="single" w:color="CCCCCC" w:sz="1"/>
            </w:tcBorders>
            <w:shd w:fill="D5F5E3"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1E8449"/>
                <w:sz w:val="18"/>
                <w:szCs w:val="18"/>
              </w:rPr>
              <w:t xml:space="preserve">Best Match</w:t>
            </w:r>
          </w:p>
        </w:tc>
        <w:tc>
          <w:tcPr>
            <w:tcW w:type="dxa" w:w="4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Highest overall weighted score</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iCs/>
                <w:color w:val="4D5656"/>
                <w:sz w:val="18"/>
                <w:szCs w:val="18"/>
              </w:rPr>
              <w:t xml:space="preserve">General recommendation for most projects</w:t>
            </w:r>
          </w:p>
        </w:tc>
      </w:tr>
      <w:tr>
        <w:tc>
          <w:tcPr>
            <w:tcW w:type="dxa" w:w="2400"/>
            <w:tcBorders>
              <w:top w:val="single" w:color="CCCCCC" w:sz="1"/>
              <w:left w:val="single" w:color="CCCCCC" w:sz="1"/>
              <w:bottom w:val="single" w:color="CCCCCC" w:sz="1"/>
              <w:right w:val="single" w:color="CCCCCC" w:sz="1"/>
            </w:tcBorders>
            <w:shd w:fill="D5F5E3"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1E8449"/>
                <w:sz w:val="18"/>
                <w:szCs w:val="18"/>
              </w:rPr>
              <w:t xml:space="preserve">Best Efficiency</w:t>
            </w:r>
          </w:p>
        </w:tc>
        <w:tc>
          <w:tcPr>
            <w:tcW w:type="dxa" w:w="4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Highest HR efficiency × SFP composite score, flow gate applied</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iCs/>
                <w:color w:val="4D5656"/>
                <w:sz w:val="18"/>
                <w:szCs w:val="18"/>
              </w:rPr>
              <w:t xml:space="preserve">Passive House and ESD projects</w:t>
            </w:r>
          </w:p>
        </w:tc>
      </w:tr>
      <w:tr>
        <w:tc>
          <w:tcPr>
            <w:tcW w:type="dxa" w:w="2400"/>
            <w:tcBorders>
              <w:top w:val="single" w:color="CCCCCC" w:sz="1"/>
              <w:left w:val="single" w:color="CCCCCC" w:sz="1"/>
              <w:bottom w:val="single" w:color="CCCCCC" w:sz="1"/>
              <w:right w:val="single" w:color="CCCCCC" w:sz="1"/>
            </w:tcBorders>
            <w:shd w:fill="D5F5E3"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1E8449"/>
                <w:sz w:val="18"/>
                <w:szCs w:val="18"/>
              </w:rPr>
              <w:t xml:space="preserve">Best Value</w:t>
            </w:r>
          </w:p>
        </w:tc>
        <w:tc>
          <w:tcPr>
            <w:tcW w:type="dxa" w:w="4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Highest score per credit/price (requires price data — see Phase 4)</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iCs/>
                <w:color w:val="4D5656"/>
                <w:sz w:val="18"/>
                <w:szCs w:val="18"/>
              </w:rPr>
              <w:t xml:space="preserve">Budget-conscious builders and contractors</w:t>
            </w:r>
          </w:p>
        </w:tc>
      </w:tr>
      <w:tr>
        <w:tc>
          <w:tcPr>
            <w:tcW w:type="dxa" w:w="2400"/>
            <w:tcBorders>
              <w:top w:val="single" w:color="CCCCCC" w:sz="1"/>
              <w:left w:val="single" w:color="CCCCCC" w:sz="1"/>
              <w:bottom w:val="single" w:color="CCCCCC" w:sz="1"/>
              <w:right w:val="single" w:color="CCCCCC" w:sz="1"/>
            </w:tcBorders>
            <w:shd w:fill="D5F5E3"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1E8449"/>
                <w:sz w:val="18"/>
                <w:szCs w:val="18"/>
              </w:rPr>
              <w:t xml:space="preserve">Premium Pick</w:t>
            </w:r>
          </w:p>
        </w:tc>
        <w:tc>
          <w:tcPr>
            <w:tcW w:type="dxa" w:w="4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Highest score with no weight constraint (ignores price)</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iCs/>
                <w:color w:val="4D5656"/>
                <w:sz w:val="18"/>
                <w:szCs w:val="18"/>
              </w:rPr>
              <w:t xml:space="preserve">High-end residential, architect-led projects</w:t>
            </w:r>
          </w:p>
        </w:tc>
      </w:tr>
    </w:tbl>
    <w:p>
      <w:pPr>
        <w:spacing w:after="200" w:before="0"/>
      </w:pPr>
      <w:r>
        <w:t xml:space="preserve"/>
      </w:r>
    </w:p>
    <w:p>
      <w:pPr>
        <w:pStyle w:val="Heading2"/>
        <w:spacing w:after="80" w:before="300"/>
      </w:pPr>
      <w:r>
        <w:rPr>
          <w:rFonts w:ascii="Arial" w:cs="Arial" w:eastAsia="Arial" w:hAnsi="Arial"/>
          <w:b/>
          <w:bCs/>
          <w:color w:val="1B4F72"/>
          <w:sz w:val="26"/>
          <w:szCs w:val="26"/>
        </w:rPr>
        <w:t xml:space="preserve">4.3 UI — Show the Logic</w:t>
      </w:r>
    </w:p>
    <w:p>
      <w:pPr>
        <w:spacing w:after="80" w:before="0"/>
      </w:pPr>
      <w:r>
        <w:rPr>
          <w:rFonts w:ascii="Arial" w:cs="Arial" w:eastAsia="Arial" w:hAnsi="Arial"/>
          <w:sz w:val="20"/>
          <w:szCs w:val="20"/>
        </w:rPr>
        <w:t xml:space="preserve">Each recommended unit must display a scoring breakdown. Users must be able to see why a unit was recommended. This builds trust and reduces support requests.</w:t>
      </w:r>
    </w:p>
    <w:p>
      <w:pPr>
        <w:pStyle w:val="ListParagraph"/>
        <w:numPr>
          <w:ilvl w:val="0"/>
          <w:numId w:val="2"/>
        </w:numPr>
        <w:spacing w:after="50" w:before="0"/>
      </w:pPr>
      <w:r>
        <w:rPr>
          <w:rFonts w:ascii="Arial" w:cs="Arial" w:eastAsia="Arial" w:hAnsi="Arial"/>
          <w:color w:val="000000"/>
          <w:sz w:val="20"/>
          <w:szCs w:val="20"/>
        </w:rPr>
        <w:t xml:space="preserve">Show a mini bar chart per factor: ESP Margin ████░░ 72%, HR Efficiency ██████ 91%, SFP ████░░ 68%…</w:t>
      </w:r>
    </w:p>
    <w:p>
      <w:pPr>
        <w:pStyle w:val="ListParagraph"/>
        <w:numPr>
          <w:ilvl w:val="0"/>
          <w:numId w:val="2"/>
        </w:numPr>
        <w:spacing w:after="50" w:before="0"/>
      </w:pPr>
      <w:r>
        <w:rPr>
          <w:rFonts w:ascii="Arial" w:cs="Arial" w:eastAsia="Arial" w:hAnsi="Arial"/>
          <w:color w:val="000000"/>
          <w:sz w:val="20"/>
          <w:szCs w:val="20"/>
        </w:rPr>
        <w:t xml:space="preserve">Show the governing criterion that drove design flow (occupancy / ACH / extract demand)</w:t>
      </w:r>
    </w:p>
    <w:p>
      <w:pPr>
        <w:pStyle w:val="ListParagraph"/>
        <w:numPr>
          <w:ilvl w:val="0"/>
          <w:numId w:val="2"/>
        </w:numPr>
        <w:spacing w:after="50" w:before="0"/>
      </w:pPr>
      <w:r>
        <w:rPr>
          <w:rFonts w:ascii="Arial" w:cs="Arial" w:eastAsia="Arial" w:hAnsi="Arial"/>
          <w:color w:val="000000"/>
          <w:sz w:val="20"/>
          <w:szCs w:val="20"/>
        </w:rPr>
        <w:t xml:space="preserve">Show the system ΔP estimate and remaining pressure reserve for the selected unit</w:t>
      </w:r>
    </w:p>
    <w:p>
      <w:pPr>
        <w:pStyle w:val="ListParagraph"/>
        <w:numPr>
          <w:ilvl w:val="0"/>
          <w:numId w:val="2"/>
        </w:numPr>
        <w:spacing w:after="50" w:before="0"/>
      </w:pPr>
      <w:r>
        <w:rPr>
          <w:rFonts w:ascii="Arial" w:cs="Arial" w:eastAsia="Arial" w:hAnsi="Arial"/>
          <w:color w:val="000000"/>
          <w:sz w:val="20"/>
          <w:szCs w:val="20"/>
        </w:rPr>
        <w:t xml:space="preserve">Add a "Compare" mode: select any two units from the list and show a side-by-side factor comparison table</w:t>
      </w:r>
    </w:p>
    <w:p>
      <w:pPr>
        <w:spacing w:after="200" w:before="0"/>
      </w:pPr>
      <w:r>
        <w:t xml:space="preserve"/>
      </w:r>
    </w:p>
    <w:p>
      <w:pPr>
        <w:pStyle w:val="Heading2"/>
        <w:spacing w:after="80" w:before="300"/>
      </w:pPr>
      <w:r>
        <w:rPr>
          <w:rFonts w:ascii="Arial" w:cs="Arial" w:eastAsia="Arial" w:hAnsi="Arial"/>
          <w:b/>
          <w:bCs/>
          <w:color w:val="1B4F72"/>
          <w:sz w:val="26"/>
          <w:szCs w:val="26"/>
        </w:rPr>
        <w:t xml:space="preserve">4.4 Climate Zone Integration</w:t>
      </w:r>
    </w:p>
    <w:p>
      <w:pPr>
        <w:spacing w:after="80" w:before="0"/>
      </w:pPr>
      <w:r>
        <w:rPr>
          <w:rFonts w:ascii="Arial" w:cs="Arial" w:eastAsia="Arial" w:hAnsi="Arial"/>
          <w:sz w:val="20"/>
          <w:szCs w:val="20"/>
        </w:rPr>
        <w:t xml:space="preserve">Australian climate zones (NCC 2022 / ABCB) affect humidity weighting. Recommended implementation:</w:t>
      </w:r>
    </w:p>
    <w:p>
      <w:pPr>
        <w:pStyle w:val="ListParagraph"/>
        <w:numPr>
          <w:ilvl w:val="0"/>
          <w:numId w:val="2"/>
        </w:numPr>
        <w:spacing w:after="50" w:before="0"/>
      </w:pPr>
      <w:r>
        <w:rPr>
          <w:rFonts w:ascii="Arial" w:cs="Arial" w:eastAsia="Arial" w:hAnsi="Arial"/>
          <w:color w:val="000000"/>
          <w:sz w:val="20"/>
          <w:szCs w:val="20"/>
        </w:rPr>
        <w:t xml:space="preserve">Add climate_zone to projects (text: "1" through "8" plus "Alpine")</w:t>
      </w:r>
    </w:p>
    <w:p>
      <w:pPr>
        <w:pStyle w:val="ListParagraph"/>
        <w:numPr>
          <w:ilvl w:val="0"/>
          <w:numId w:val="2"/>
        </w:numPr>
        <w:spacing w:after="50" w:before="0"/>
      </w:pPr>
      <w:r>
        <w:rPr>
          <w:rFonts w:ascii="Arial" w:cs="Arial" w:eastAsia="Arial" w:hAnsi="Arial"/>
          <w:color w:val="000000"/>
          <w:sz w:val="20"/>
          <w:szCs w:val="20"/>
        </w:rPr>
        <w:t xml:space="preserve">Add a postcode → climate zone lookup table (available from ABCB) or integrate the NCC API</w:t>
      </w:r>
    </w:p>
    <w:p>
      <w:pPr>
        <w:pStyle w:val="ListParagraph"/>
        <w:numPr>
          <w:ilvl w:val="0"/>
          <w:numId w:val="2"/>
        </w:numPr>
        <w:spacing w:after="50" w:before="0"/>
      </w:pPr>
      <w:r>
        <w:rPr>
          <w:rFonts w:ascii="Arial" w:cs="Arial" w:eastAsia="Arial" w:hAnsi="Arial"/>
          <w:color w:val="000000"/>
          <w:sz w:val="20"/>
          <w:szCs w:val="20"/>
        </w:rPr>
        <w:t xml:space="preserve">When climate zone is 1 or 2 (tropical), set humidity_weight = 0.20 and reduce HR efficiency weight</w:t>
      </w:r>
    </w:p>
    <w:p>
      <w:pPr>
        <w:pStyle w:val="ListParagraph"/>
        <w:numPr>
          <w:ilvl w:val="0"/>
          <w:numId w:val="2"/>
        </w:numPr>
        <w:spacing w:after="50" w:before="0"/>
      </w:pPr>
      <w:r>
        <w:rPr>
          <w:rFonts w:ascii="Arial" w:cs="Arial" w:eastAsia="Arial" w:hAnsi="Arial"/>
          <w:color w:val="000000"/>
          <w:sz w:val="20"/>
          <w:szCs w:val="20"/>
        </w:rPr>
        <w:t xml:space="preserve">When climate zone is 7 or Alpine, set frost_protection_required = true — filter out units without frost protection</w:t>
      </w:r>
    </w:p>
    <w:p>
      <w:pPr>
        <w:spacing w:after="100" w:before="0"/>
      </w:pPr>
      <w:r>
        <w:t xml:space="preserve"/>
      </w:r>
    </w:p>
    <w:p>
      <w:r>
        <w:br w:type="page"/>
      </w:r>
    </w:p>
    <w:p>
      <w:pPr>
        <w:pStyle w:val="Heading1"/>
        <w:pBdr>
          <w:bottom w:val="single" w:color="1B4F72" w:sz="6" w:space="4"/>
        </w:pBdr>
        <w:spacing w:after="140" w:before="400"/>
      </w:pPr>
      <w:r>
        <w:rPr>
          <w:rFonts w:ascii="Arial" w:cs="Arial" w:eastAsia="Arial" w:hAnsi="Arial"/>
          <w:b/>
          <w:bCs/>
          <w:color w:val="1B4F72"/>
          <w:sz w:val="34"/>
          <w:szCs w:val="34"/>
        </w:rPr>
        <w:t xml:space="preserve">5. Phase 3 — Duct System Intelligence</w:t>
      </w:r>
    </w:p>
    <w:p>
      <w:pPr>
        <w:spacing w:after="80" w:before="0"/>
      </w:pPr>
      <w:r>
        <w:rPr>
          <w:rFonts w:ascii="Arial" w:cs="Arial" w:eastAsia="Arial" w:hAnsi="Arial"/>
          <w:sz w:val="20"/>
          <w:szCs w:val="20"/>
        </w:rPr>
        <w:t xml:space="preserve">The current engine uses a single 90mm diameter, no fitting types, and no system topology distinction. A proper duct engine unlocks: system validation, balancing reports, manufacturer-specific BOM, and noise risk flags.</w:t>
      </w:r>
    </w:p>
    <w:p>
      <w:pPr>
        <w:spacing w:after="100" w:before="0"/>
      </w:pPr>
      <w:r>
        <w:t xml:space="preserve"/>
      </w:r>
    </w:p>
    <w:p>
      <w:pPr>
        <w:pStyle w:val="Heading2"/>
        <w:spacing w:after="80" w:before="300"/>
      </w:pPr>
      <w:r>
        <w:rPr>
          <w:rFonts w:ascii="Arial" w:cs="Arial" w:eastAsia="Arial" w:hAnsi="Arial"/>
          <w:b/>
          <w:bCs/>
          <w:color w:val="1B4F72"/>
          <w:sz w:val="26"/>
          <w:szCs w:val="26"/>
        </w:rPr>
        <w:t xml:space="preserve">5.1 System Type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400"/>
        <w:gridCol w:w="1960"/>
      </w:tblGrid>
      <w:tr>
        <w:trPr>
          <w:tblHeader/>
        </w:trPr>
        <w:tc>
          <w:tcPr>
            <w:tcW w:type="dxa" w:w="20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System Type</w:t>
            </w:r>
          </w:p>
        </w:tc>
        <w:tc>
          <w:tcPr>
            <w:tcW w:type="dxa" w:w="30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Topology</w:t>
            </w:r>
          </w:p>
        </w:tc>
        <w:tc>
          <w:tcPr>
            <w:tcW w:type="dxa" w:w="24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Manufacturers</w:t>
            </w:r>
          </w:p>
        </w:tc>
        <w:tc>
          <w:tcPr>
            <w:tcW w:type="dxa" w:w="196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Current Support</w:t>
            </w:r>
          </w:p>
        </w:tc>
      </w:tr>
      <w:tr>
        <w:tc>
          <w:tcPr>
            <w:tcW w:type="dxa" w:w="2000"/>
            <w:tcBorders>
              <w:top w:val="single" w:color="CCCCCC" w:sz="1"/>
              <w:left w:val="single" w:color="CCCCCC" w:sz="1"/>
              <w:bottom w:val="single" w:color="CCCCCC" w:sz="1"/>
              <w:right w:val="single" w:color="CCCCCC" w:sz="1"/>
            </w:tcBorders>
            <w:shd w:fill="D6EAF8"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1B4F72"/>
                <w:sz w:val="18"/>
                <w:szCs w:val="18"/>
              </w:rPr>
              <w:t xml:space="preserve">Radial (ComfoWell / SpeedFit)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Central manifold → individual 90mm ducts to each valve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Zehnder, Fantech, Brink, Vasco, Fantech</w:t>
            </w:r>
          </w:p>
        </w:tc>
        <w:tc>
          <w:tcPr>
            <w:tcW w:type="dxa" w:w="196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4D5656"/>
                <w:sz w:val="18"/>
                <w:szCs w:val="18"/>
              </w:rPr>
              <w:t xml:space="preserve">Partial — 90mm fixed, no manifold sizing</w:t>
            </w:r>
          </w:p>
        </w:tc>
      </w:tr>
      <w:tr>
        <w:tc>
          <w:tcPr>
            <w:tcW w:type="dxa" w:w="2000"/>
            <w:tcBorders>
              <w:top w:val="single" w:color="CCCCCC" w:sz="1"/>
              <w:left w:val="single" w:color="CCCCCC" w:sz="1"/>
              <w:bottom w:val="single" w:color="CCCCCC" w:sz="1"/>
              <w:right w:val="single" w:color="CCCCCC" w:sz="1"/>
            </w:tcBorders>
            <w:shd w:fill="D6EAF8"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1B4F72"/>
                <w:sz w:val="18"/>
                <w:szCs w:val="18"/>
              </w:rPr>
              <w:t xml:space="preserve">Radial (flexible)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Central manifold → semi-rigid 75mm or 90mm</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Ubbink, Domus, Lindab Ventipak</w:t>
            </w:r>
          </w:p>
        </w:tc>
        <w:tc>
          <w:tcPr>
            <w:tcW w:type="dxa" w:w="1960"/>
            <w:tcBorders>
              <w:top w:val="single" w:color="CCCCCC" w:sz="1"/>
              <w:left w:val="single" w:color="CCCCCC" w:sz="1"/>
              <w:bottom w:val="single" w:color="CCCCCC" w:sz="1"/>
              <w:right w:val="single" w:color="CCCCCC" w:sz="1"/>
            </w:tcBorders>
            <w:shd w:fill="FADBD8"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C0392B"/>
                <w:sz w:val="18"/>
                <w:szCs w:val="18"/>
              </w:rPr>
              <w:t xml:space="preserve">None</w:t>
            </w:r>
          </w:p>
        </w:tc>
      </w:tr>
      <w:tr>
        <w:tc>
          <w:tcPr>
            <w:tcW w:type="dxa" w:w="2000"/>
            <w:tcBorders>
              <w:top w:val="single" w:color="CCCCCC" w:sz="1"/>
              <w:left w:val="single" w:color="CCCCCC" w:sz="1"/>
              <w:bottom w:val="single" w:color="CCCCCC" w:sz="1"/>
              <w:right w:val="single" w:color="CCCCCC" w:sz="1"/>
            </w:tcBorders>
            <w:shd w:fill="D6EAF8"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1B4F72"/>
                <w:sz w:val="18"/>
                <w:szCs w:val="18"/>
              </w:rPr>
              <w:t xml:space="preserve">Trunk &amp; Branch</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Main plenum → reducing branches → valve drops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Lindab, Spiroware, local sheet metal</w:t>
            </w:r>
          </w:p>
        </w:tc>
        <w:tc>
          <w:tcPr>
            <w:tcW w:type="dxa" w:w="1960"/>
            <w:tcBorders>
              <w:top w:val="single" w:color="CCCCCC" w:sz="1"/>
              <w:left w:val="single" w:color="CCCCCC" w:sz="1"/>
              <w:bottom w:val="single" w:color="CCCCCC" w:sz="1"/>
              <w:right w:val="single" w:color="CCCCCC" w:sz="1"/>
            </w:tcBorders>
            <w:shd w:fill="FADBD8"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C0392B"/>
                <w:sz w:val="18"/>
                <w:szCs w:val="18"/>
              </w:rPr>
              <w:t xml:space="preserve">None</w:t>
            </w:r>
          </w:p>
        </w:tc>
      </w:tr>
      <w:tr>
        <w:tc>
          <w:tcPr>
            <w:tcW w:type="dxa" w:w="2000"/>
            <w:tcBorders>
              <w:top w:val="single" w:color="CCCCCC" w:sz="1"/>
              <w:left w:val="single" w:color="CCCCCC" w:sz="1"/>
              <w:bottom w:val="single" w:color="CCCCCC" w:sz="1"/>
              <w:right w:val="single" w:color="CCCCCC" w:sz="1"/>
            </w:tcBorders>
            <w:shd w:fill="D6EAF8"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1B4F72"/>
                <w:sz w:val="18"/>
                <w:szCs w:val="18"/>
              </w:rPr>
              <w:t xml:space="preserve">Hybrid</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Manifold on ground floor, trunk on upper floor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Custom/contractor</w:t>
            </w:r>
          </w:p>
        </w:tc>
        <w:tc>
          <w:tcPr>
            <w:tcW w:type="dxa" w:w="1960"/>
            <w:tcBorders>
              <w:top w:val="single" w:color="CCCCCC" w:sz="1"/>
              <w:left w:val="single" w:color="CCCCCC" w:sz="1"/>
              <w:bottom w:val="single" w:color="CCCCCC" w:sz="1"/>
              <w:right w:val="single" w:color="CCCCCC" w:sz="1"/>
            </w:tcBorders>
            <w:shd w:fill="FADBD8"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C0392B"/>
                <w:sz w:val="18"/>
                <w:szCs w:val="18"/>
              </w:rPr>
              <w:t xml:space="preserve">None</w:t>
            </w:r>
          </w:p>
        </w:tc>
      </w:tr>
    </w:tbl>
    <w:p>
      <w:pPr>
        <w:spacing w:after="200" w:before="0"/>
      </w:pPr>
      <w:r>
        <w:t xml:space="preserve"/>
      </w:r>
    </w:p>
    <w:p>
      <w:pPr>
        <w:pStyle w:val="Heading2"/>
        <w:spacing w:after="80" w:before="300"/>
      </w:pPr>
      <w:r>
        <w:rPr>
          <w:rFonts w:ascii="Arial" w:cs="Arial" w:eastAsia="Arial" w:hAnsi="Arial"/>
          <w:b/>
          <w:bCs/>
          <w:color w:val="1B4F72"/>
          <w:sz w:val="26"/>
          <w:szCs w:val="26"/>
        </w:rPr>
        <w:t xml:space="preserve">5.2 Calculation Framework</w:t>
      </w:r>
    </w:p>
    <w:p>
      <w:pPr>
        <w:pStyle w:val="Heading3"/>
        <w:spacing w:after="60" w:before="200"/>
      </w:pPr>
      <w:r>
        <w:rPr>
          <w:rFonts w:ascii="Arial" w:cs="Arial" w:eastAsia="Arial" w:hAnsi="Arial"/>
          <w:b/>
          <w:bCs/>
          <w:color w:val="4D5656"/>
          <w:sz w:val="22"/>
          <w:szCs w:val="22"/>
        </w:rPr>
        <w:t xml:space="preserve">Radial System</w:t>
      </w:r>
    </w:p>
    <w:p>
      <w:pPr>
        <w:pStyle w:val="ListParagraph"/>
        <w:numPr>
          <w:ilvl w:val="0"/>
          <w:numId w:val="2"/>
        </w:numPr>
        <w:spacing w:after="50" w:before="0"/>
      </w:pPr>
      <w:r>
        <w:rPr>
          <w:rFonts w:ascii="Arial" w:cs="Arial" w:eastAsia="Arial" w:hAnsi="Arial"/>
          <w:color w:val="000000"/>
          <w:sz w:val="20"/>
          <w:szCs w:val="20"/>
        </w:rPr>
        <w:t xml:space="preserve">Inputs: design flow per valve, duct length, number and type of bends, fitting types</w:t>
      </w:r>
    </w:p>
    <w:p>
      <w:pPr>
        <w:pStyle w:val="ListParagraph"/>
        <w:numPr>
          <w:ilvl w:val="0"/>
          <w:numId w:val="2"/>
        </w:numPr>
        <w:spacing w:after="50" w:before="0"/>
      </w:pPr>
      <w:r>
        <w:rPr>
          <w:rFonts w:ascii="Arial" w:cs="Arial" w:eastAsia="Arial" w:hAnsi="Arial"/>
          <w:color w:val="000000"/>
          <w:sz w:val="20"/>
          <w:szCs w:val="20"/>
        </w:rPr>
        <w:t xml:space="preserve">Calculate: velocity → friction loss (Darcy-Weisbach) → fitting losses (from zeta table) → valve ΔP → manifold ΔP → total ΔP per branch</w:t>
      </w:r>
    </w:p>
    <w:p>
      <w:pPr>
        <w:pStyle w:val="ListParagraph"/>
        <w:numPr>
          <w:ilvl w:val="0"/>
          <w:numId w:val="2"/>
        </w:numPr>
        <w:spacing w:after="50" w:before="0"/>
      </w:pPr>
      <w:r>
        <w:rPr>
          <w:rFonts w:ascii="Arial" w:cs="Arial" w:eastAsia="Arial" w:hAnsi="Arial"/>
          <w:color w:val="000000"/>
          <w:sz w:val="20"/>
          <w:szCs w:val="20"/>
        </w:rPr>
        <w:t xml:space="preserve">Index circuit: the branch with highest total ΔP is the design index circuit</w:t>
      </w:r>
    </w:p>
    <w:p>
      <w:pPr>
        <w:pStyle w:val="ListParagraph"/>
        <w:numPr>
          <w:ilvl w:val="0"/>
          <w:numId w:val="2"/>
        </w:numPr>
        <w:spacing w:after="50" w:before="0"/>
      </w:pPr>
      <w:r>
        <w:rPr>
          <w:rFonts w:ascii="Arial" w:cs="Arial" w:eastAsia="Arial" w:hAnsi="Arial"/>
          <w:color w:val="000000"/>
          <w:sz w:val="20"/>
          <w:szCs w:val="20"/>
        </w:rPr>
        <w:t xml:space="preserve">Check: velocity ≤ 3.5 m/s (NCC), noise risk flag if v &gt; 3.0 m/s, balancing check (max/min branch ΔP ratio ≤ 1.5)</w:t>
      </w:r>
    </w:p>
    <w:p>
      <w:pPr>
        <w:spacing w:after="100" w:before="0"/>
      </w:pPr>
      <w:r>
        <w:t xml:space="preserve"/>
      </w:r>
    </w:p>
    <w:p>
      <w:pPr>
        <w:pStyle w:val="Heading3"/>
        <w:spacing w:after="60" w:before="200"/>
      </w:pPr>
      <w:r>
        <w:rPr>
          <w:rFonts w:ascii="Arial" w:cs="Arial" w:eastAsia="Arial" w:hAnsi="Arial"/>
          <w:b/>
          <w:bCs/>
          <w:color w:val="4D5656"/>
          <w:sz w:val="22"/>
          <w:szCs w:val="22"/>
        </w:rPr>
        <w:t xml:space="preserve">Trunk &amp; Branch System</w:t>
      </w:r>
    </w:p>
    <w:p>
      <w:pPr>
        <w:pStyle w:val="ListParagraph"/>
        <w:numPr>
          <w:ilvl w:val="0"/>
          <w:numId w:val="2"/>
        </w:numPr>
        <w:spacing w:after="50" w:before="0"/>
      </w:pPr>
      <w:r>
        <w:rPr>
          <w:rFonts w:ascii="Arial" w:cs="Arial" w:eastAsia="Arial" w:hAnsi="Arial"/>
          <w:color w:val="000000"/>
          <w:sz w:val="20"/>
          <w:szCs w:val="20"/>
        </w:rPr>
        <w:t xml:space="preserve">Build a tree from manifold to each terminal using a directed graph (nodes = junctions, edges = duct segments)</w:t>
      </w:r>
    </w:p>
    <w:p>
      <w:pPr>
        <w:pStyle w:val="ListParagraph"/>
        <w:numPr>
          <w:ilvl w:val="0"/>
          <w:numId w:val="2"/>
        </w:numPr>
        <w:spacing w:after="50" w:before="0"/>
      </w:pPr>
      <w:r>
        <w:rPr>
          <w:rFonts w:ascii="Arial" w:cs="Arial" w:eastAsia="Arial" w:hAnsi="Arial"/>
          <w:color w:val="000000"/>
          <w:sz w:val="20"/>
          <w:szCs w:val="20"/>
        </w:rPr>
        <w:t xml:space="preserve">Calculate path pressure loss for each terminal as sum of segment losses along the path from root to terminal</w:t>
      </w:r>
    </w:p>
    <w:p>
      <w:pPr>
        <w:pStyle w:val="ListParagraph"/>
        <w:numPr>
          <w:ilvl w:val="0"/>
          <w:numId w:val="2"/>
        </w:numPr>
        <w:spacing w:after="50" w:before="0"/>
      </w:pPr>
      <w:r>
        <w:rPr>
          <w:rFonts w:ascii="Arial" w:cs="Arial" w:eastAsia="Arial" w:hAnsi="Arial"/>
          <w:color w:val="000000"/>
          <w:sz w:val="20"/>
          <w:szCs w:val="20"/>
        </w:rPr>
        <w:t xml:space="preserve">Identify the critical path (highest cumulative ΔP) as the index circuit</w:t>
      </w:r>
    </w:p>
    <w:p>
      <w:pPr>
        <w:pStyle w:val="ListParagraph"/>
        <w:numPr>
          <w:ilvl w:val="0"/>
          <w:numId w:val="2"/>
        </w:numPr>
        <w:spacing w:after="50" w:before="0"/>
      </w:pPr>
      <w:r>
        <w:rPr>
          <w:rFonts w:ascii="Arial" w:cs="Arial" w:eastAsia="Arial" w:hAnsi="Arial"/>
          <w:color w:val="000000"/>
          <w:sz w:val="20"/>
          <w:szCs w:val="20"/>
        </w:rPr>
        <w:t xml:space="preserve">For each non-index branch: calculate available pressure and set damper/volume controller position to balance</w:t>
      </w:r>
    </w:p>
    <w:p>
      <w:pPr>
        <w:pStyle w:val="ListParagraph"/>
        <w:numPr>
          <w:ilvl w:val="0"/>
          <w:numId w:val="2"/>
        </w:numPr>
        <w:spacing w:after="50" w:before="0"/>
      </w:pPr>
      <w:r>
        <w:rPr>
          <w:rFonts w:ascii="Arial" w:cs="Arial" w:eastAsia="Arial" w:hAnsi="Arial"/>
          <w:color w:val="000000"/>
          <w:sz w:val="20"/>
          <w:szCs w:val="20"/>
        </w:rPr>
        <w:t xml:space="preserve">Check: all branch velocities, all junction velocities, total imbalance after dampers</w:t>
      </w:r>
    </w:p>
    <w:p>
      <w:pPr>
        <w:spacing w:after="200" w:before="0"/>
      </w:pPr>
      <w:r>
        <w:t xml:space="preserve"/>
      </w:r>
    </w:p>
    <w:p>
      <w:pPr>
        <w:pStyle w:val="Heading2"/>
        <w:spacing w:after="80" w:before="300"/>
      </w:pPr>
      <w:r>
        <w:rPr>
          <w:rFonts w:ascii="Arial" w:cs="Arial" w:eastAsia="Arial" w:hAnsi="Arial"/>
          <w:b/>
          <w:bCs/>
          <w:color w:val="1B4F72"/>
          <w:sz w:val="26"/>
          <w:szCs w:val="26"/>
        </w:rPr>
        <w:t xml:space="preserve">5.3 Database Architecture — Manufacturer-Agnostic</w:t>
      </w:r>
    </w:p>
    <w:p>
      <w:pPr>
        <w:spacing w:after="80" w:before="0"/>
      </w:pPr>
      <w:r>
        <w:rPr>
          <w:rFonts w:ascii="Arial" w:cs="Arial" w:eastAsia="Arial" w:hAnsi="Arial"/>
          <w:sz w:val="20"/>
          <w:szCs w:val="20"/>
        </w:rPr>
        <w:t xml:space="preserve">The key design principle: new manufacturers are added by inserting data, not by changing code.</w:t>
      </w:r>
    </w:p>
    <w:p>
      <w:pPr>
        <w:pStyle w:val="ListParagraph"/>
        <w:numPr>
          <w:ilvl w:val="0"/>
          <w:numId w:val="2"/>
        </w:numPr>
        <w:spacing w:after="50" w:before="0"/>
      </w:pPr>
      <w:r>
        <w:rPr>
          <w:rFonts w:ascii="Arial" w:cs="Arial" w:eastAsia="Arial" w:hAnsi="Arial"/>
          <w:color w:val="000000"/>
          <w:sz w:val="20"/>
          <w:szCs w:val="20"/>
        </w:rPr>
        <w:t xml:space="preserve">New table: duct_products — manufacturer, product line, type (duct/fitting/manifold/valve), nominal_diameter_mm, pressure_class, zeta_coefficient (for fittings), friction_factor override, dimensions_mm jsonb</w:t>
      </w:r>
    </w:p>
    <w:p>
      <w:pPr>
        <w:pStyle w:val="ListParagraph"/>
        <w:numPr>
          <w:ilvl w:val="0"/>
          <w:numId w:val="2"/>
        </w:numPr>
        <w:spacing w:after="50" w:before="0"/>
      </w:pPr>
      <w:r>
        <w:rPr>
          <w:rFonts w:ascii="Arial" w:cs="Arial" w:eastAsia="Arial" w:hAnsi="Arial"/>
          <w:color w:val="000000"/>
          <w:sz w:val="20"/>
          <w:szCs w:val="20"/>
        </w:rPr>
        <w:t xml:space="preserve">New table: duct_systems — project-level system configuration: system_type, manufacturer, main_duct_diameter, branch_duct_diameter, fitting_library_id</w:t>
      </w:r>
    </w:p>
    <w:p>
      <w:pPr>
        <w:pStyle w:val="ListParagraph"/>
        <w:numPr>
          <w:ilvl w:val="0"/>
          <w:numId w:val="2"/>
        </w:numPr>
        <w:spacing w:after="50" w:before="0"/>
      </w:pPr>
      <w:r>
        <w:rPr>
          <w:rFonts w:ascii="Arial" w:cs="Arial" w:eastAsia="Arial" w:hAnsi="Arial"/>
          <w:color w:val="000000"/>
          <w:sz w:val="20"/>
          <w:szCs w:val="20"/>
        </w:rPr>
        <w:t xml:space="preserve">New table: duct_segment_types — named fitting types (90° elbow, 45° bend, T-junction, reducer, valve, terminal) with default zeta values that manufacturer data can override</w:t>
      </w:r>
    </w:p>
    <w:p>
      <w:pPr>
        <w:pStyle w:val="ListParagraph"/>
        <w:numPr>
          <w:ilvl w:val="0"/>
          <w:numId w:val="2"/>
        </w:numPr>
        <w:spacing w:after="50" w:before="0"/>
      </w:pPr>
      <w:r>
        <w:rPr>
          <w:rFonts w:ascii="Arial" w:cs="Arial" w:eastAsia="Arial" w:hAnsi="Arial"/>
          <w:color w:val="000000"/>
          <w:sz w:val="20"/>
          <w:szCs w:val="20"/>
        </w:rPr>
        <w:t xml:space="preserve">Projects store duct layout as an array of segments in plan_state_json, each referencing a duct_segment_types.id</w:t>
      </w:r>
    </w:p>
    <w:p>
      <w:pPr>
        <w:spacing w:after="200" w:before="0"/>
      </w:pPr>
      <w:r>
        <w:t xml:space="preserve"/>
      </w:r>
    </w:p>
    <w:p>
      <w:pPr>
        <w:pStyle w:val="Heading2"/>
        <w:spacing w:after="80" w:before="300"/>
      </w:pPr>
      <w:r>
        <w:rPr>
          <w:rFonts w:ascii="Arial" w:cs="Arial" w:eastAsia="Arial" w:hAnsi="Arial"/>
          <w:b/>
          <w:bCs/>
          <w:color w:val="1B4F72"/>
          <w:sz w:val="26"/>
          <w:szCs w:val="26"/>
        </w:rPr>
        <w:t xml:space="preserve">5.4 Checks, Warnings, and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Check</w:t>
            </w:r>
          </w:p>
        </w:tc>
        <w:tc>
          <w:tcPr>
            <w:tcW w:type="dxa" w:w="25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Threshold</w:t>
            </w:r>
          </w:p>
        </w:tc>
        <w:tc>
          <w:tcPr>
            <w:tcW w:type="dxa" w:w="386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Action on Fail</w:t>
            </w:r>
          </w:p>
        </w:tc>
      </w:tr>
      <w:tr>
        <w:tc>
          <w:tcPr>
            <w:tcW w:type="dxa" w:w="30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Supply velocity</w:t>
            </w:r>
          </w:p>
        </w:tc>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 3.5 m/s per NCC 2022 Sec J</w:t>
            </w:r>
          </w:p>
        </w:tc>
        <w:tc>
          <w:tcPr>
            <w:tcW w:type="dxa" w:w="3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Warn: highlight duct in red, suggest larger diameter or split into two ducts</w:t>
            </w:r>
          </w:p>
        </w:tc>
      </w:tr>
      <w:tr>
        <w:tc>
          <w:tcPr>
            <w:tcW w:type="dxa" w:w="30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Extract velocity</w:t>
            </w:r>
          </w:p>
        </w:tc>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 3.5 m/s per NCC 2022 Sec J</w:t>
            </w:r>
          </w:p>
        </w:tc>
        <w:tc>
          <w:tcPr>
            <w:tcW w:type="dxa" w:w="3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Same as above</w:t>
            </w:r>
          </w:p>
        </w:tc>
      </w:tr>
      <w:tr>
        <w:tc>
          <w:tcPr>
            <w:tcW w:type="dxa" w:w="30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System ΔP vs unit ESP</w:t>
            </w:r>
          </w:p>
        </w:tc>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System ΔP ≤ unit ESP × 0.85 (15% reserve)</w:t>
            </w:r>
          </w:p>
        </w:tc>
        <w:tc>
          <w:tcPr>
            <w:tcW w:type="dxa" w:w="3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Warn: selected unit may stall; recommend unit with higher ESP</w:t>
            </w:r>
          </w:p>
        </w:tc>
      </w:tr>
      <w:tr>
        <w:tc>
          <w:tcPr>
            <w:tcW w:type="dxa" w:w="30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Balancing ratio</w:t>
            </w:r>
          </w:p>
        </w:tc>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Max branch ΔP / min branch ΔP ≤ 1.5</w:t>
            </w:r>
          </w:p>
        </w:tc>
        <w:tc>
          <w:tcPr>
            <w:tcW w:type="dxa" w:w="3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Warn: system will be hard to balance; add dampers or resize</w:t>
            </w:r>
          </w:p>
        </w:tc>
      </w:tr>
      <w:tr>
        <w:tc>
          <w:tcPr>
            <w:tcW w:type="dxa" w:w="30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Noise risk</w:t>
            </w:r>
          </w:p>
        </w:tc>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Any duct velocity &gt; 3.0 m/s near a habitable room</w:t>
            </w:r>
          </w:p>
        </w:tc>
        <w:tc>
          <w:tcPr>
            <w:tcW w:type="dxa" w:w="3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Flag noise risk — suggest increasing duct size or reducing flow</w:t>
            </w:r>
          </w:p>
        </w:tc>
      </w:tr>
      <w:tr>
        <w:tc>
          <w:tcPr>
            <w:tcW w:type="dxa" w:w="30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Extract from kitchen</w:t>
            </w:r>
          </w:p>
        </w:tc>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Kitchen extract should not share a branch with bedrooms</w:t>
            </w:r>
          </w:p>
        </w:tc>
        <w:tc>
          <w:tcPr>
            <w:tcW w:type="dxa" w:w="3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Error: route to separate manifold</w:t>
            </w:r>
          </w:p>
        </w:tc>
      </w:tr>
    </w:tbl>
    <w:p>
      <w:pPr>
        <w:spacing w:after="100" w:before="0"/>
      </w:pPr>
      <w:r>
        <w:t xml:space="preserve"/>
      </w:r>
    </w:p>
    <w:p>
      <w:r>
        <w:br w:type="page"/>
      </w:r>
    </w:p>
    <w:p>
      <w:pPr>
        <w:pStyle w:val="Heading1"/>
        <w:pBdr>
          <w:bottom w:val="single" w:color="6C3483" w:sz="6" w:space="4"/>
        </w:pBdr>
        <w:spacing w:after="140" w:before="400"/>
      </w:pPr>
      <w:r>
        <w:rPr>
          <w:rFonts w:ascii="Arial" w:cs="Arial" w:eastAsia="Arial" w:hAnsi="Arial"/>
          <w:b/>
          <w:bCs/>
          <w:color w:val="6C3483"/>
          <w:sz w:val="34"/>
          <w:szCs w:val="34"/>
        </w:rPr>
        <w:t xml:space="preserve">6. Phase 4 — Supplier Data Import AI</w:t>
      </w:r>
    </w:p>
    <w:p>
      <w:pPr>
        <w:spacing w:after="80" w:before="0"/>
      </w:pPr>
      <w:r>
        <w:rPr>
          <w:rFonts w:ascii="Arial" w:cs="Arial" w:eastAsia="Arial" w:hAnsi="Arial"/>
          <w:sz w:val="20"/>
          <w:szCs w:val="20"/>
        </w:rPr>
        <w:t xml:space="preserve">"Upload your supplier catalogue and HiPer Studio builds the database automatically." This is a strategic moat. No competitor offers this.</w:t>
      </w:r>
    </w:p>
    <w:p>
      <w:pPr>
        <w:spacing w:after="100" w:before="0"/>
      </w:pPr>
      <w:r>
        <w:t xml:space="preserve"/>
      </w:r>
    </w:p>
    <w:p>
      <w:pPr>
        <w:pStyle w:val="Heading2"/>
        <w:spacing w:after="80" w:before="300"/>
      </w:pPr>
      <w:r>
        <w:rPr>
          <w:rFonts w:ascii="Arial" w:cs="Arial" w:eastAsia="Arial" w:hAnsi="Arial"/>
          <w:b/>
          <w:bCs/>
          <w:color w:val="1B4F72"/>
          <w:sz w:val="26"/>
          <w:szCs w:val="26"/>
        </w:rPr>
        <w:t xml:space="preserve">6.1 Import Pipeline Architecture</w:t>
      </w:r>
    </w:p>
    <w:p>
      <w:pPr>
        <w:pStyle w:val="Heading3"/>
        <w:spacing w:after="60" w:before="200"/>
      </w:pPr>
      <w:r>
        <w:rPr>
          <w:rFonts w:ascii="Arial" w:cs="Arial" w:eastAsia="Arial" w:hAnsi="Arial"/>
          <w:b/>
          <w:bCs/>
          <w:color w:val="4D5656"/>
          <w:sz w:val="22"/>
          <w:szCs w:val="22"/>
        </w:rPr>
        <w:t xml:space="preserve">Stage 1 — Ingestion</w:t>
      </w:r>
    </w:p>
    <w:p>
      <w:pPr>
        <w:pStyle w:val="ListParagraph"/>
        <w:numPr>
          <w:ilvl w:val="0"/>
          <w:numId w:val="2"/>
        </w:numPr>
        <w:spacing w:after="50" w:before="0"/>
      </w:pPr>
      <w:r>
        <w:rPr>
          <w:rFonts w:ascii="Arial" w:cs="Arial" w:eastAsia="Arial" w:hAnsi="Arial"/>
          <w:color w:val="000000"/>
          <w:sz w:val="20"/>
          <w:szCs w:val="20"/>
        </w:rPr>
        <w:t xml:space="preserve">User uploads file via the admin or company portal (PDF, XLSX, CSV, DOCX)</w:t>
      </w:r>
    </w:p>
    <w:p>
      <w:pPr>
        <w:pStyle w:val="ListParagraph"/>
        <w:numPr>
          <w:ilvl w:val="0"/>
          <w:numId w:val="2"/>
        </w:numPr>
        <w:spacing w:after="50" w:before="0"/>
      </w:pPr>
      <w:r>
        <w:rPr>
          <w:rFonts w:ascii="Arial" w:cs="Arial" w:eastAsia="Arial" w:hAnsi="Arial"/>
          <w:color w:val="000000"/>
          <w:sz w:val="20"/>
          <w:szCs w:val="20"/>
        </w:rPr>
        <w:t xml:space="preserve">File is stored in Supabase Storage bucket supplier-imports</w:t>
      </w:r>
    </w:p>
    <w:p>
      <w:pPr>
        <w:pStyle w:val="ListParagraph"/>
        <w:numPr>
          <w:ilvl w:val="0"/>
          <w:numId w:val="2"/>
        </w:numPr>
        <w:spacing w:after="50" w:before="0"/>
      </w:pPr>
      <w:r>
        <w:rPr>
          <w:rFonts w:ascii="Arial" w:cs="Arial" w:eastAsia="Arial" w:hAnsi="Arial"/>
          <w:color w:val="000000"/>
          <w:sz w:val="20"/>
          <w:szCs w:val="20"/>
        </w:rPr>
        <w:t xml:space="preserve">POST /api/supplier/import { fileStoragePath, supplierId, dataType } is called</w:t>
      </w:r>
    </w:p>
    <w:p>
      <w:pPr>
        <w:pStyle w:val="ListParagraph"/>
        <w:numPr>
          <w:ilvl w:val="0"/>
          <w:numId w:val="2"/>
        </w:numPr>
        <w:spacing w:after="50" w:before="0"/>
      </w:pPr>
      <w:r>
        <w:rPr>
          <w:rFonts w:ascii="Arial" w:cs="Arial" w:eastAsia="Arial" w:hAnsi="Arial"/>
          <w:color w:val="000000"/>
          <w:sz w:val="20"/>
          <w:szCs w:val="20"/>
        </w:rPr>
        <w:t xml:space="preserve">dataType: "unit_catalogue" | "duct_products" | "fitting_products" | "price_list"</w:t>
      </w:r>
    </w:p>
    <w:p>
      <w:pPr>
        <w:spacing w:after="100" w:before="0"/>
      </w:pPr>
      <w:r>
        <w:t xml:space="preserve"/>
      </w:r>
    </w:p>
    <w:p>
      <w:pPr>
        <w:pStyle w:val="Heading3"/>
        <w:spacing w:after="60" w:before="200"/>
      </w:pPr>
      <w:r>
        <w:rPr>
          <w:rFonts w:ascii="Arial" w:cs="Arial" w:eastAsia="Arial" w:hAnsi="Arial"/>
          <w:b/>
          <w:bCs/>
          <w:color w:val="4D5656"/>
          <w:sz w:val="22"/>
          <w:szCs w:val="22"/>
        </w:rPr>
        <w:t xml:space="preserve">Stage 2 — AI Extraction</w:t>
      </w:r>
    </w:p>
    <w:p>
      <w:pPr>
        <w:pStyle w:val="ListParagraph"/>
        <w:numPr>
          <w:ilvl w:val="0"/>
          <w:numId w:val="2"/>
        </w:numPr>
        <w:spacing w:after="50" w:before="0"/>
      </w:pPr>
      <w:r>
        <w:rPr>
          <w:rFonts w:ascii="Arial" w:cs="Arial" w:eastAsia="Arial" w:hAnsi="Arial"/>
          <w:color w:val="000000"/>
          <w:sz w:val="20"/>
          <w:szCs w:val="20"/>
        </w:rPr>
        <w:t xml:space="preserve">PDF → convert pages to images (pdf2pic) → send each page to Claude Vision with a structured extraction prompt</w:t>
      </w:r>
    </w:p>
    <w:p>
      <w:pPr>
        <w:pStyle w:val="ListParagraph"/>
        <w:numPr>
          <w:ilvl w:val="0"/>
          <w:numId w:val="2"/>
        </w:numPr>
        <w:spacing w:after="50" w:before="0"/>
      </w:pPr>
      <w:r>
        <w:rPr>
          <w:rFonts w:ascii="Arial" w:cs="Arial" w:eastAsia="Arial" w:hAnsi="Arial"/>
          <w:color w:val="000000"/>
          <w:sz w:val="20"/>
          <w:szCs w:val="20"/>
        </w:rPr>
        <w:t xml:space="preserve">XLSX/CSV → read with SheetJS/Papa → format as structured text → send to Claude text API</w:t>
      </w:r>
    </w:p>
    <w:p>
      <w:pPr>
        <w:pStyle w:val="ListParagraph"/>
        <w:numPr>
          <w:ilvl w:val="0"/>
          <w:numId w:val="2"/>
        </w:numPr>
        <w:spacing w:after="50" w:before="0"/>
      </w:pPr>
      <w:r>
        <w:rPr>
          <w:rFonts w:ascii="Arial" w:cs="Arial" w:eastAsia="Arial" w:hAnsi="Arial"/>
          <w:color w:val="000000"/>
          <w:sz w:val="20"/>
          <w:szCs w:val="20"/>
        </w:rPr>
        <w:t xml:space="preserve">Prompt requests JSON with: product_name, flow_min, flow_max, pressure_pa, sfp, hr_efficiency, sound_db, dimensions_mm, connection_sizes, duct_diameter, weight_kg, price_aud (if present)</w:t>
      </w:r>
    </w:p>
    <w:p>
      <w:pPr>
        <w:pStyle w:val="ListParagraph"/>
        <w:numPr>
          <w:ilvl w:val="0"/>
          <w:numId w:val="2"/>
        </w:numPr>
        <w:spacing w:after="50" w:before="0"/>
      </w:pPr>
      <w:r>
        <w:rPr>
          <w:rFonts w:ascii="Arial" w:cs="Arial" w:eastAsia="Arial" w:hAnsi="Arial"/>
          <w:color w:val="000000"/>
          <w:sz w:val="20"/>
          <w:szCs w:val="20"/>
        </w:rPr>
        <w:t xml:space="preserve">Each extracted record gets a confidence score (0.0–1.0) based on completeness and internal consistency</w:t>
      </w:r>
    </w:p>
    <w:p>
      <w:pPr>
        <w:spacing w:after="100" w:before="0"/>
      </w:pPr>
      <w:r>
        <w:t xml:space="preserve"/>
      </w:r>
    </w:p>
    <w:p>
      <w:pPr>
        <w:pStyle w:val="Heading3"/>
        <w:spacing w:after="60" w:before="200"/>
      </w:pPr>
      <w:r>
        <w:rPr>
          <w:rFonts w:ascii="Arial" w:cs="Arial" w:eastAsia="Arial" w:hAnsi="Arial"/>
          <w:b/>
          <w:bCs/>
          <w:color w:val="4D5656"/>
          <w:sz w:val="22"/>
          <w:szCs w:val="22"/>
        </w:rPr>
        <w:t xml:space="preserve">Stage 3 — Staging and Review</w:t>
      </w:r>
    </w:p>
    <w:p>
      <w:pPr>
        <w:pStyle w:val="ListParagraph"/>
        <w:numPr>
          <w:ilvl w:val="0"/>
          <w:numId w:val="2"/>
        </w:numPr>
        <w:spacing w:after="50" w:before="0"/>
      </w:pPr>
      <w:r>
        <w:rPr>
          <w:rFonts w:ascii="Arial" w:cs="Arial" w:eastAsia="Arial" w:hAnsi="Arial"/>
          <w:color w:val="000000"/>
          <w:sz w:val="20"/>
          <w:szCs w:val="20"/>
        </w:rPr>
        <w:t xml:space="preserve">Extracted records are inserted into supplier_import_staging table with status = "pending_review"</w:t>
      </w:r>
    </w:p>
    <w:p>
      <w:pPr>
        <w:pStyle w:val="ListParagraph"/>
        <w:numPr>
          <w:ilvl w:val="0"/>
          <w:numId w:val="2"/>
        </w:numPr>
        <w:spacing w:after="50" w:before="0"/>
      </w:pPr>
      <w:r>
        <w:rPr>
          <w:rFonts w:ascii="Arial" w:cs="Arial" w:eastAsia="Arial" w:hAnsi="Arial"/>
          <w:color w:val="000000"/>
          <w:sz w:val="20"/>
          <w:szCs w:val="20"/>
        </w:rPr>
        <w:t xml:space="preserve">Company admin or platform admin reviews staged records in a data review table UI</w:t>
      </w:r>
    </w:p>
    <w:p>
      <w:pPr>
        <w:pStyle w:val="ListParagraph"/>
        <w:numPr>
          <w:ilvl w:val="0"/>
          <w:numId w:val="2"/>
        </w:numPr>
        <w:spacing w:after="50" w:before="0"/>
      </w:pPr>
      <w:r>
        <w:rPr>
          <w:rFonts w:ascii="Arial" w:cs="Arial" w:eastAsia="Arial" w:hAnsi="Arial"/>
          <w:color w:val="000000"/>
          <w:sz w:val="20"/>
          <w:szCs w:val="20"/>
        </w:rPr>
        <w:t xml:space="preserve">UI shows: extracted value | confidence | edit field | approve/reject per row</w:t>
      </w:r>
    </w:p>
    <w:p>
      <w:pPr>
        <w:pStyle w:val="ListParagraph"/>
        <w:numPr>
          <w:ilvl w:val="0"/>
          <w:numId w:val="2"/>
        </w:numPr>
        <w:spacing w:after="50" w:before="0"/>
      </w:pPr>
      <w:r>
        <w:rPr>
          <w:rFonts w:ascii="Arial" w:cs="Arial" w:eastAsia="Arial" w:hAnsi="Arial"/>
          <w:color w:val="000000"/>
          <w:sz w:val="20"/>
          <w:szCs w:val="20"/>
        </w:rPr>
        <w:t xml:space="preserve">On approval, records are copied to mvhr_units or duct_products with supplier attribution</w:t>
      </w:r>
    </w:p>
    <w:p>
      <w:pPr>
        <w:spacing w:after="100" w:before="0"/>
      </w:pPr>
      <w:r>
        <w:t xml:space="preserve"/>
      </w:r>
    </w:p>
    <w:p>
      <w:pPr>
        <w:pStyle w:val="Heading3"/>
        <w:spacing w:after="60" w:before="200"/>
      </w:pPr>
      <w:r>
        <w:rPr>
          <w:rFonts w:ascii="Arial" w:cs="Arial" w:eastAsia="Arial" w:hAnsi="Arial"/>
          <w:b/>
          <w:bCs/>
          <w:color w:val="4D5656"/>
          <w:sz w:val="22"/>
          <w:szCs w:val="22"/>
        </w:rPr>
        <w:t xml:space="preserve">Stage 4 — Enrichment and Normalisation</w:t>
      </w:r>
    </w:p>
    <w:p>
      <w:pPr>
        <w:pStyle w:val="ListParagraph"/>
        <w:numPr>
          <w:ilvl w:val="0"/>
          <w:numId w:val="2"/>
        </w:numPr>
        <w:spacing w:after="50" w:before="0"/>
      </w:pPr>
      <w:r>
        <w:rPr>
          <w:rFonts w:ascii="Arial" w:cs="Arial" w:eastAsia="Arial" w:hAnsi="Arial"/>
          <w:color w:val="000000"/>
          <w:sz w:val="20"/>
          <w:szCs w:val="20"/>
        </w:rPr>
        <w:t xml:space="preserve">After approval, a normalisation job checks units against PHI cert IDs where possible</w:t>
      </w:r>
    </w:p>
    <w:p>
      <w:pPr>
        <w:pStyle w:val="ListParagraph"/>
        <w:numPr>
          <w:ilvl w:val="0"/>
          <w:numId w:val="2"/>
        </w:numPr>
        <w:spacing w:after="50" w:before="0"/>
      </w:pPr>
      <w:r>
        <w:rPr>
          <w:rFonts w:ascii="Arial" w:cs="Arial" w:eastAsia="Arial" w:hAnsi="Arial"/>
          <w:color w:val="000000"/>
          <w:sz w:val="20"/>
          <w:szCs w:val="20"/>
        </w:rPr>
        <w:t xml:space="preserve">Price data is stored separately in supplier_product_prices (supplier_id, product_id, price_aud, effective_date) to track changes over time</w:t>
      </w:r>
    </w:p>
    <w:p>
      <w:pPr>
        <w:spacing w:after="200" w:before="0"/>
      </w:pPr>
      <w:r>
        <w:t xml:space="preserve"/>
      </w:r>
    </w:p>
    <w:p>
      <w:pPr>
        <w:pStyle w:val="Heading2"/>
        <w:spacing w:after="80" w:before="300"/>
      </w:pPr>
      <w:r>
        <w:rPr>
          <w:rFonts w:ascii="Arial" w:cs="Arial" w:eastAsia="Arial" w:hAnsi="Arial"/>
          <w:b/>
          <w:bCs/>
          <w:color w:val="1B4F72"/>
          <w:sz w:val="26"/>
          <w:szCs w:val="26"/>
        </w:rPr>
        <w:t xml:space="preserve">6.2 Database Schema</w:t>
      </w:r>
    </w:p>
    <w:p>
      <w:pPr>
        <w:pStyle w:val="ListParagraph"/>
        <w:numPr>
          <w:ilvl w:val="0"/>
          <w:numId w:val="2"/>
        </w:numPr>
        <w:spacing w:after="50" w:before="0"/>
      </w:pPr>
      <w:r>
        <w:rPr>
          <w:rFonts w:ascii="Arial" w:cs="Arial" w:eastAsia="Arial" w:hAnsi="Arial"/>
          <w:color w:val="000000"/>
          <w:sz w:val="20"/>
          <w:szCs w:val="20"/>
        </w:rPr>
        <w:t xml:space="preserve">New table: suppliers — id, name, country, website, contact_email, logo_url</w:t>
      </w:r>
    </w:p>
    <w:p>
      <w:pPr>
        <w:pStyle w:val="ListParagraph"/>
        <w:numPr>
          <w:ilvl w:val="0"/>
          <w:numId w:val="2"/>
        </w:numPr>
        <w:spacing w:after="50" w:before="0"/>
      </w:pPr>
      <w:r>
        <w:rPr>
          <w:rFonts w:ascii="Arial" w:cs="Arial" w:eastAsia="Arial" w:hAnsi="Arial"/>
          <w:color w:val="000000"/>
          <w:sz w:val="20"/>
          <w:szCs w:val="20"/>
        </w:rPr>
        <w:t xml:space="preserve">New table: supplier_import_staging — id, supplier_id, import_batch_id, data_type, raw_json, extracted_json, confidence, status (pending/approved/rejected), reviewed_by, reviewed_at</w:t>
      </w:r>
    </w:p>
    <w:p>
      <w:pPr>
        <w:pStyle w:val="ListParagraph"/>
        <w:numPr>
          <w:ilvl w:val="0"/>
          <w:numId w:val="2"/>
        </w:numPr>
        <w:spacing w:after="50" w:before="0"/>
      </w:pPr>
      <w:r>
        <w:rPr>
          <w:rFonts w:ascii="Arial" w:cs="Arial" w:eastAsia="Arial" w:hAnsi="Arial"/>
          <w:color w:val="000000"/>
          <w:sz w:val="20"/>
          <w:szCs w:val="20"/>
        </w:rPr>
        <w:t xml:space="preserve">New table: supplier_product_prices — id, product_id, product_type (unit/duct/fitting), supplier_id, price_aud, currency, effective_date</w:t>
      </w:r>
    </w:p>
    <w:p>
      <w:pPr>
        <w:pStyle w:val="ListParagraph"/>
        <w:numPr>
          <w:ilvl w:val="0"/>
          <w:numId w:val="2"/>
        </w:numPr>
        <w:spacing w:after="50" w:before="0"/>
      </w:pPr>
      <w:r>
        <w:rPr>
          <w:rFonts w:ascii="Arial" w:cs="Arial" w:eastAsia="Arial" w:hAnsi="Arial"/>
          <w:color w:val="000000"/>
          <w:sz w:val="20"/>
          <w:szCs w:val="20"/>
        </w:rPr>
        <w:t xml:space="preserve">mvhr_units: add supplier_id FK, add commercial data (list_price_aud, lead_time_days, stocked_in_au boolean)</w:t>
      </w:r>
    </w:p>
    <w:p>
      <w:pPr>
        <w:spacing w:after="200" w:before="0"/>
      </w:pPr>
      <w:r>
        <w:t xml:space="preserve"/>
      </w:r>
    </w:p>
    <w:p>
      <w:pPr>
        <w:pStyle w:val="Heading2"/>
        <w:spacing w:after="80" w:before="300"/>
      </w:pPr>
      <w:r>
        <w:rPr>
          <w:rFonts w:ascii="Arial" w:cs="Arial" w:eastAsia="Arial" w:hAnsi="Arial"/>
          <w:b/>
          <w:bCs/>
          <w:color w:val="1B4F72"/>
          <w:sz w:val="26"/>
          <w:szCs w:val="26"/>
        </w:rPr>
        <w:t xml:space="preserve">6.3 Estimated Extraction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560"/>
      </w:tblGrid>
      <w:tr>
        <w:trPr>
          <w:tblHeader/>
        </w:trPr>
        <w:tc>
          <w:tcPr>
            <w:tcW w:type="dxa" w:w="24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Document Type</w:t>
            </w:r>
          </w:p>
        </w:tc>
        <w:tc>
          <w:tcPr>
            <w:tcW w:type="dxa" w:w="16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Pages</w:t>
            </w:r>
          </w:p>
        </w:tc>
        <w:tc>
          <w:tcPr>
            <w:tcW w:type="dxa" w:w="18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API Cost</w:t>
            </w:r>
          </w:p>
        </w:tc>
        <w:tc>
          <w:tcPr>
            <w:tcW w:type="dxa" w:w="356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Time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6C3483"/>
                <w:sz w:val="18"/>
                <w:szCs w:val="18"/>
              </w:rPr>
              <w:t xml:space="preserve">Unit datasheet (single product)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$0.02–0.08</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&lt; 5 seconds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6C3483"/>
                <w:sz w:val="18"/>
                <w:szCs w:val="18"/>
              </w:rPr>
              <w:t xml:space="preserve">Product catalogue (20 units)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20–40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$0.30–$1.20</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20–40 seconds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6C3483"/>
                <w:sz w:val="18"/>
                <w:szCs w:val="18"/>
              </w:rPr>
              <w:t xml:space="preserve">Full system catalogue (100+ pages)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100+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$2.00–$8.00</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2–5 minutes (async)</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6C3483"/>
                <w:sz w:val="18"/>
                <w:szCs w:val="18"/>
              </w:rPr>
              <w:t xml:space="preserve">Price list (XLSX, 500 rows)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N/A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$0.05–$0.20</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&lt; 10 seconds</w:t>
            </w:r>
          </w:p>
        </w:tc>
      </w:tr>
    </w:tbl>
    <w:p>
      <w:pPr>
        <w:spacing w:after="100" w:before="0"/>
      </w:pPr>
      <w:r>
        <w:t xml:space="preserve"/>
      </w:r>
    </w:p>
    <w:p>
      <w:pPr>
        <w:spacing w:after="80" w:before="0"/>
      </w:pPr>
      <w:r>
        <w:rPr>
          <w:rFonts w:ascii="Arial" w:cs="Arial" w:eastAsia="Arial" w:hAnsi="Arial"/>
          <w:sz w:val="20"/>
          <w:szCs w:val="20"/>
        </w:rPr>
        <w:t xml:space="preserve">Supplier import is a platform-admin and company-admin feature. Charge a one-time import fee of 5–15 credits per catalogue, or include unlimited imports in a "Studio" tier.</w:t>
      </w:r>
    </w:p>
    <w:p>
      <w:pPr>
        <w:spacing w:after="100" w:before="0"/>
      </w:pPr>
      <w:r>
        <w:t xml:space="preserve"/>
      </w:r>
    </w:p>
    <w:p>
      <w:r>
        <w:br w:type="page"/>
      </w:r>
    </w:p>
    <w:p>
      <w:pPr>
        <w:pStyle w:val="Heading1"/>
        <w:pBdr>
          <w:bottom w:val="single" w:color="D35400" w:sz="6" w:space="4"/>
        </w:pBdr>
        <w:spacing w:after="140" w:before="400"/>
      </w:pPr>
      <w:r>
        <w:rPr>
          <w:rFonts w:ascii="Arial" w:cs="Arial" w:eastAsia="Arial" w:hAnsi="Arial"/>
          <w:b/>
          <w:bCs/>
          <w:color w:val="D35400"/>
          <w:sz w:val="34"/>
          <w:szCs w:val="34"/>
        </w:rPr>
        <w:t xml:space="preserve">7. Phase 5 — Company Workspaces Frontend</w:t>
      </w:r>
    </w:p>
    <w:p>
      <w:pPr>
        <w:spacing w:after="80" w:before="0"/>
      </w:pPr>
      <w:r>
        <w:rPr>
          <w:rFonts w:ascii="Arial" w:cs="Arial" w:eastAsia="Arial" w:hAnsi="Arial"/>
          <w:sz w:val="20"/>
          <w:szCs w:val="20"/>
        </w:rPr>
        <w:t xml:space="preserve">The backend for company accounts, roles, and shared credit pools was implemented in the security remediation phase. This phase builds the frontend experience that makes it visible and useful to end users.</w:t>
      </w:r>
    </w:p>
    <w:p>
      <w:pPr>
        <w:spacing w:after="100" w:before="0"/>
      </w:pPr>
      <w:r>
        <w:t xml:space="preserve"/>
      </w:r>
    </w:p>
    <w:p>
      <w:pPr>
        <w:pStyle w:val="Heading2"/>
        <w:spacing w:after="80" w:before="300"/>
      </w:pPr>
      <w:r>
        <w:rPr>
          <w:rFonts w:ascii="Arial" w:cs="Arial" w:eastAsia="Arial" w:hAnsi="Arial"/>
          <w:b/>
          <w:bCs/>
          <w:color w:val="1B4F72"/>
          <w:sz w:val="26"/>
          <w:szCs w:val="26"/>
        </w:rPr>
        <w:t xml:space="preserve">7.1 Company Dashboard — Wireframe Recommendations</w:t>
      </w:r>
    </w:p>
    <w:p>
      <w:pPr>
        <w:pStyle w:val="Heading3"/>
        <w:spacing w:after="60" w:before="200"/>
      </w:pPr>
      <w:r>
        <w:rPr>
          <w:rFonts w:ascii="Arial" w:cs="Arial" w:eastAsia="Arial" w:hAnsi="Arial"/>
          <w:b/>
          <w:bCs/>
          <w:color w:val="4D5656"/>
          <w:sz w:val="22"/>
          <w:szCs w:val="22"/>
        </w:rPr>
        <w:t xml:space="preserve">Top-level layout (replaces the single-user project list for company members)</w:t>
      </w:r>
    </w:p>
    <w:p>
      <w:pPr>
        <w:pStyle w:val="ListParagraph"/>
        <w:numPr>
          <w:ilvl w:val="0"/>
          <w:numId w:val="2"/>
        </w:numPr>
        <w:spacing w:after="50" w:before="0"/>
      </w:pPr>
      <w:r>
        <w:rPr>
          <w:rFonts w:ascii="Arial" w:cs="Arial" w:eastAsia="Arial" w:hAnsi="Arial"/>
          <w:color w:val="000000"/>
          <w:sz w:val="20"/>
          <w:szCs w:val="20"/>
        </w:rPr>
        <w:t xml:space="preserve">Left sidebar: Company name, member avatars (up to 5), credit balance indicator, navigation: Projects / Members / Credits / Settings</w:t>
      </w:r>
    </w:p>
    <w:p>
      <w:pPr>
        <w:pStyle w:val="ListParagraph"/>
        <w:numPr>
          <w:ilvl w:val="0"/>
          <w:numId w:val="2"/>
        </w:numPr>
        <w:spacing w:after="50" w:before="0"/>
      </w:pPr>
      <w:r>
        <w:rPr>
          <w:rFonts w:ascii="Arial" w:cs="Arial" w:eastAsia="Arial" w:hAnsi="Arial"/>
          <w:color w:val="000000"/>
          <w:sz w:val="20"/>
          <w:szCs w:val="20"/>
        </w:rPr>
        <w:t xml:space="preserve">Main area: tabbed between "All Projects" (shared), "My Projects", "Recent Activity"</w:t>
      </w:r>
    </w:p>
    <w:p>
      <w:pPr>
        <w:pStyle w:val="ListParagraph"/>
        <w:numPr>
          <w:ilvl w:val="0"/>
          <w:numId w:val="2"/>
        </w:numPr>
        <w:spacing w:after="50" w:before="0"/>
      </w:pPr>
      <w:r>
        <w:rPr>
          <w:rFonts w:ascii="Arial" w:cs="Arial" w:eastAsia="Arial" w:hAnsi="Arial"/>
          <w:color w:val="000000"/>
          <w:sz w:val="20"/>
          <w:szCs w:val="20"/>
        </w:rPr>
        <w:t xml:space="preserve">Header bar: company credit pool balance (prominently shown), "Buy Credits" button, user avatar with company role badge</w:t>
      </w:r>
    </w:p>
    <w:p>
      <w:pPr>
        <w:spacing w:after="100" w:before="0"/>
      </w:pPr>
      <w:r>
        <w:t xml:space="preserve"/>
      </w:r>
    </w:p>
    <w:p>
      <w:pPr>
        <w:pStyle w:val="Heading3"/>
        <w:spacing w:after="60" w:before="200"/>
      </w:pPr>
      <w:r>
        <w:rPr>
          <w:rFonts w:ascii="Arial" w:cs="Arial" w:eastAsia="Arial" w:hAnsi="Arial"/>
          <w:b/>
          <w:bCs/>
          <w:color w:val="4D5656"/>
          <w:sz w:val="22"/>
          <w:szCs w:val="22"/>
        </w:rPr>
        <w:t xml:space="preserve">Company-Level Credit Pool Indicator</w:t>
      </w:r>
    </w:p>
    <w:p>
      <w:pPr>
        <w:pStyle w:val="ListParagraph"/>
        <w:numPr>
          <w:ilvl w:val="0"/>
          <w:numId w:val="2"/>
        </w:numPr>
        <w:spacing w:after="50" w:before="0"/>
      </w:pPr>
      <w:r>
        <w:rPr>
          <w:rFonts w:ascii="Arial" w:cs="Arial" w:eastAsia="Arial" w:hAnsi="Arial"/>
          <w:color w:val="000000"/>
          <w:sz w:val="20"/>
          <w:szCs w:val="20"/>
        </w:rPr>
        <w:t xml:space="preserve">Replace the individual credit badge (⚡ N credits) with a company pool badge when pool_credits_enabled = true</w:t>
      </w:r>
    </w:p>
    <w:p>
      <w:pPr>
        <w:pStyle w:val="ListParagraph"/>
        <w:numPr>
          <w:ilvl w:val="0"/>
          <w:numId w:val="2"/>
        </w:numPr>
        <w:spacing w:after="50" w:before="0"/>
      </w:pPr>
      <w:r>
        <w:rPr>
          <w:rFonts w:ascii="Arial" w:cs="Arial" w:eastAsia="Arial" w:hAnsi="Arial"/>
          <w:color w:val="000000"/>
          <w:sz w:val="20"/>
          <w:szCs w:val="20"/>
        </w:rPr>
        <w:t xml:space="preserve">Show: ⚡ 47 credits (shared) — Pool — with a tooltip listing members and per-member usage this month</w:t>
      </w:r>
    </w:p>
    <w:p>
      <w:pPr>
        <w:pStyle w:val="ListParagraph"/>
        <w:numPr>
          <w:ilvl w:val="0"/>
          <w:numId w:val="2"/>
        </w:numPr>
        <w:spacing w:after="50" w:before="0"/>
      </w:pPr>
      <w:r>
        <w:rPr>
          <w:rFonts w:ascii="Arial" w:cs="Arial" w:eastAsia="Arial" w:hAnsi="Arial"/>
          <w:color w:val="000000"/>
          <w:sz w:val="20"/>
          <w:szCs w:val="20"/>
        </w:rPr>
        <w:t xml:space="preserve">Company owners and admins see a "Manage Credits" link that opens the credit history drawer</w:t>
      </w:r>
    </w:p>
    <w:p>
      <w:pPr>
        <w:spacing w:after="200" w:before="0"/>
      </w:pPr>
      <w:r>
        <w:t xml:space="preserve"/>
      </w:r>
    </w:p>
    <w:p>
      <w:pPr>
        <w:pStyle w:val="Heading2"/>
        <w:spacing w:after="80" w:before="300"/>
      </w:pPr>
      <w:r>
        <w:rPr>
          <w:rFonts w:ascii="Arial" w:cs="Arial" w:eastAsia="Arial" w:hAnsi="Arial"/>
          <w:b/>
          <w:bCs/>
          <w:color w:val="1B4F72"/>
          <w:sz w:val="26"/>
          <w:szCs w:val="26"/>
        </w:rPr>
        <w:t xml:space="preserve">7.2 Team Members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UI Element</w:t>
            </w:r>
          </w:p>
        </w:tc>
        <w:tc>
          <w:tcPr>
            <w:tcW w:type="dxa" w:w="616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Detail</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D35400"/>
                <w:sz w:val="18"/>
                <w:szCs w:val="18"/>
              </w:rPr>
              <w:t xml:space="preserve">Member list</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Table: Avatar / Name / Email / Role badge / Last active / Projects / Actions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D35400"/>
                <w:sz w:val="18"/>
                <w:szCs w:val="18"/>
              </w:rPr>
              <w:t xml:space="preserve">Role badges</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Owner (gold), Admin (blue), Member (grey) — colour-coded inline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D35400"/>
                <w:sz w:val="18"/>
                <w:szCs w:val="18"/>
              </w:rPr>
              <w:t xml:space="preserve">Invite member</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Email input + Role selector (Admin/Member) + Send Invite button; shows pending invites in a separate "Awaiting acceptance" section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D35400"/>
                <w:sz w:val="18"/>
                <w:szCs w:val="18"/>
              </w:rPr>
              <w:t xml:space="preserve">Remove member</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Confirmation dialog: warns that their projects remain in the company workspace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D35400"/>
                <w:sz w:val="18"/>
                <w:szCs w:val="18"/>
              </w:rPr>
              <w:t xml:space="preserve">Transfer ownership</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Owner-only: opens a confirmation flow — must type "TRANSFER" to confirm, emails both parties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D35400"/>
                <w:sz w:val="18"/>
                <w:szCs w:val="18"/>
              </w:rPr>
              <w:t xml:space="preserve">Role change</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Admin can promote/demote Members; Owner can promote/demote Admins</w:t>
            </w:r>
          </w:p>
        </w:tc>
      </w:tr>
    </w:tbl>
    <w:p>
      <w:pPr>
        <w:spacing w:after="200" w:before="0"/>
      </w:pPr>
      <w:r>
        <w:t xml:space="preserve"/>
      </w:r>
    </w:p>
    <w:p>
      <w:pPr>
        <w:pStyle w:val="Heading2"/>
        <w:spacing w:after="80" w:before="300"/>
      </w:pPr>
      <w:r>
        <w:rPr>
          <w:rFonts w:ascii="Arial" w:cs="Arial" w:eastAsia="Arial" w:hAnsi="Arial"/>
          <w:b/>
          <w:bCs/>
          <w:color w:val="1B4F72"/>
          <w:sz w:val="26"/>
          <w:szCs w:val="26"/>
        </w:rPr>
        <w:t xml:space="preserve">7.3 Shared Projects</w:t>
      </w:r>
    </w:p>
    <w:p>
      <w:pPr>
        <w:pStyle w:val="ListParagraph"/>
        <w:numPr>
          <w:ilvl w:val="0"/>
          <w:numId w:val="2"/>
        </w:numPr>
        <w:spacing w:after="50" w:before="0"/>
      </w:pPr>
      <w:r>
        <w:rPr>
          <w:rFonts w:ascii="Arial" w:cs="Arial" w:eastAsia="Arial" w:hAnsi="Arial"/>
          <w:color w:val="000000"/>
          <w:sz w:val="20"/>
          <w:szCs w:val="20"/>
        </w:rPr>
        <w:t xml:space="preserve">All company members can see all company projects by default (controlled by a company-level setting: "Projects visible to: All Members / Admins Only / Project Owner Only")</w:t>
      </w:r>
    </w:p>
    <w:p>
      <w:pPr>
        <w:pStyle w:val="ListParagraph"/>
        <w:numPr>
          <w:ilvl w:val="0"/>
          <w:numId w:val="2"/>
        </w:numPr>
        <w:spacing w:after="50" w:before="0"/>
      </w:pPr>
      <w:r>
        <w:rPr>
          <w:rFonts w:ascii="Arial" w:cs="Arial" w:eastAsia="Arial" w:hAnsi="Arial"/>
          <w:color w:val="000000"/>
          <w:sz w:val="20"/>
          <w:szCs w:val="20"/>
        </w:rPr>
        <w:t xml:space="preserve">Project cards show: project name, owner avatar, last modified, credit cost to open (if design not yet run)</w:t>
      </w:r>
    </w:p>
    <w:p>
      <w:pPr>
        <w:pStyle w:val="ListParagraph"/>
        <w:numPr>
          <w:ilvl w:val="0"/>
          <w:numId w:val="2"/>
        </w:numPr>
        <w:spacing w:after="50" w:before="0"/>
      </w:pPr>
      <w:r>
        <w:rPr>
          <w:rFonts w:ascii="Arial" w:cs="Arial" w:eastAsia="Arial" w:hAnsi="Arial"/>
          <w:color w:val="000000"/>
          <w:sz w:val="20"/>
          <w:szCs w:val="20"/>
        </w:rPr>
        <w:t xml:space="preserve">Copy project is a first-class company action — any member can copy a project from any other member's workspace</w:t>
      </w:r>
    </w:p>
    <w:p>
      <w:pPr>
        <w:pStyle w:val="ListParagraph"/>
        <w:numPr>
          <w:ilvl w:val="0"/>
          <w:numId w:val="2"/>
        </w:numPr>
        <w:spacing w:after="50" w:before="0"/>
      </w:pPr>
      <w:r>
        <w:rPr>
          <w:rFonts w:ascii="Arial" w:cs="Arial" w:eastAsia="Arial" w:hAnsi="Arial"/>
          <w:color w:val="000000"/>
          <w:sz w:val="20"/>
          <w:szCs w:val="20"/>
        </w:rPr>
        <w:t xml:space="preserve">Project locking: when one user has a project open, show a "Locked by [name]" indicator to other members (using Supabase Presence)</w:t>
      </w:r>
    </w:p>
    <w:p>
      <w:pPr>
        <w:spacing w:after="200" w:before="0"/>
      </w:pPr>
      <w:r>
        <w:t xml:space="preserve"/>
      </w:r>
    </w:p>
    <w:p>
      <w:pPr>
        <w:pStyle w:val="Heading2"/>
        <w:spacing w:after="80" w:before="300"/>
      </w:pPr>
      <w:r>
        <w:rPr>
          <w:rFonts w:ascii="Arial" w:cs="Arial" w:eastAsia="Arial" w:hAnsi="Arial"/>
          <w:b/>
          <w:bCs/>
          <w:color w:val="1B4F72"/>
          <w:sz w:val="26"/>
          <w:szCs w:val="26"/>
        </w:rPr>
        <w:t xml:space="preserve">7.4 Activity History</w:t>
      </w:r>
    </w:p>
    <w:p>
      <w:pPr>
        <w:pStyle w:val="ListParagraph"/>
        <w:numPr>
          <w:ilvl w:val="0"/>
          <w:numId w:val="2"/>
        </w:numPr>
        <w:spacing w:after="50" w:before="0"/>
      </w:pPr>
      <w:r>
        <w:rPr>
          <w:rFonts w:ascii="Arial" w:cs="Arial" w:eastAsia="Arial" w:hAnsi="Arial"/>
          <w:color w:val="000000"/>
          <w:sz w:val="20"/>
          <w:szCs w:val="20"/>
        </w:rPr>
        <w:t xml:space="preserve">Show a chronological feed: "[User] ran design calculation on [Project]", "[User] purchased 50 credits", "[User] exported BOM for [Project]"</w:t>
      </w:r>
    </w:p>
    <w:p>
      <w:pPr>
        <w:pStyle w:val="ListParagraph"/>
        <w:numPr>
          <w:ilvl w:val="0"/>
          <w:numId w:val="2"/>
        </w:numPr>
        <w:spacing w:after="50" w:before="0"/>
      </w:pPr>
      <w:r>
        <w:rPr>
          <w:rFonts w:ascii="Arial" w:cs="Arial" w:eastAsia="Arial" w:hAnsi="Arial"/>
          <w:color w:val="000000"/>
          <w:sz w:val="20"/>
          <w:szCs w:val="20"/>
        </w:rPr>
        <w:t xml:space="preserve">Filter by: All Activity / Credits / Designs / Exports / Member Changes</w:t>
      </w:r>
    </w:p>
    <w:p>
      <w:pPr>
        <w:pStyle w:val="ListParagraph"/>
        <w:numPr>
          <w:ilvl w:val="0"/>
          <w:numId w:val="2"/>
        </w:numPr>
        <w:spacing w:after="50" w:before="0"/>
      </w:pPr>
      <w:r>
        <w:rPr>
          <w:rFonts w:ascii="Arial" w:cs="Arial" w:eastAsia="Arial" w:hAnsi="Arial"/>
          <w:color w:val="000000"/>
          <w:sz w:val="20"/>
          <w:szCs w:val="20"/>
        </w:rPr>
        <w:t xml:space="preserve">Credits tab shows the company_credit_transactions ledger with member attribution</w:t>
      </w:r>
    </w:p>
    <w:p>
      <w:pPr>
        <w:spacing w:after="200" w:before="0"/>
      </w:pPr>
      <w:r>
        <w:t xml:space="preserve"/>
      </w:r>
    </w:p>
    <w:p>
      <w:pPr>
        <w:pStyle w:val="Heading2"/>
        <w:spacing w:after="80" w:before="300"/>
      </w:pPr>
      <w:r>
        <w:rPr>
          <w:rFonts w:ascii="Arial" w:cs="Arial" w:eastAsia="Arial" w:hAnsi="Arial"/>
          <w:b/>
          <w:bCs/>
          <w:color w:val="1B4F72"/>
          <w:sz w:val="26"/>
          <w:szCs w:val="26"/>
        </w:rPr>
        <w:t xml:space="preserve">7.5 Company Settings</w:t>
      </w:r>
    </w:p>
    <w:p>
      <w:pPr>
        <w:pStyle w:val="ListParagraph"/>
        <w:numPr>
          <w:ilvl w:val="0"/>
          <w:numId w:val="2"/>
        </w:numPr>
        <w:spacing w:after="50" w:before="0"/>
      </w:pPr>
      <w:r>
        <w:rPr>
          <w:rFonts w:ascii="Arial" w:cs="Arial" w:eastAsia="Arial" w:hAnsi="Arial"/>
          <w:color w:val="000000"/>
          <w:sz w:val="20"/>
          <w:szCs w:val="20"/>
        </w:rPr>
        <w:t xml:space="preserve">Company name and billing email — editable by owner/admin</w:t>
      </w:r>
    </w:p>
    <w:p>
      <w:pPr>
        <w:pStyle w:val="ListParagraph"/>
        <w:numPr>
          <w:ilvl w:val="0"/>
          <w:numId w:val="2"/>
        </w:numPr>
        <w:spacing w:after="50" w:before="0"/>
      </w:pPr>
      <w:r>
        <w:rPr>
          <w:rFonts w:ascii="Arial" w:cs="Arial" w:eastAsia="Arial" w:hAnsi="Arial"/>
          <w:color w:val="000000"/>
          <w:sz w:val="20"/>
          <w:szCs w:val="20"/>
        </w:rPr>
        <w:t xml:space="preserve">Pool credits toggle — enable/disable shared credit pool with clear warning about the behaviour change</w:t>
      </w:r>
    </w:p>
    <w:p>
      <w:pPr>
        <w:pStyle w:val="ListParagraph"/>
        <w:numPr>
          <w:ilvl w:val="0"/>
          <w:numId w:val="2"/>
        </w:numPr>
        <w:spacing w:after="50" w:before="0"/>
      </w:pPr>
      <w:r>
        <w:rPr>
          <w:rFonts w:ascii="Arial" w:cs="Arial" w:eastAsia="Arial" w:hAnsi="Arial"/>
          <w:color w:val="000000"/>
          <w:sz w:val="20"/>
          <w:szCs w:val="20"/>
        </w:rPr>
        <w:t xml:space="preserve">Per-member credit limit — optional: set a monthly spend limit per member from the pool (future feature, flag it in settings now)</w:t>
      </w:r>
    </w:p>
    <w:p>
      <w:pPr>
        <w:pStyle w:val="ListParagraph"/>
        <w:numPr>
          <w:ilvl w:val="0"/>
          <w:numId w:val="2"/>
        </w:numPr>
        <w:spacing w:after="50" w:before="0"/>
      </w:pPr>
      <w:r>
        <w:rPr>
          <w:rFonts w:ascii="Arial" w:cs="Arial" w:eastAsia="Arial" w:hAnsi="Arial"/>
          <w:color w:val="000000"/>
          <w:sz w:val="20"/>
          <w:szCs w:val="20"/>
        </w:rPr>
        <w:t xml:space="preserve">Export: download a CSV of all activity for the last 12 months</w:t>
      </w:r>
    </w:p>
    <w:p>
      <w:pPr>
        <w:spacing w:after="100" w:before="0"/>
      </w:pPr>
      <w:r>
        <w:t xml:space="preserve"/>
      </w:r>
    </w:p>
    <w:p>
      <w:r>
        <w:br w:type="page"/>
      </w:r>
    </w:p>
    <w:p>
      <w:pPr>
        <w:pStyle w:val="Heading1"/>
        <w:pBdr>
          <w:bottom w:val="single" w:color="B7950B" w:sz="6" w:space="4"/>
        </w:pBdr>
        <w:spacing w:after="140" w:before="400"/>
      </w:pPr>
      <w:r>
        <w:rPr>
          <w:rFonts w:ascii="Arial" w:cs="Arial" w:eastAsia="Arial" w:hAnsi="Arial"/>
          <w:b/>
          <w:bCs/>
          <w:color w:val="B7950B"/>
          <w:sz w:val="34"/>
          <w:szCs w:val="34"/>
        </w:rPr>
        <w:t xml:space="preserve">8. Phase 6 — Commercial Review</w:t>
      </w:r>
    </w:p>
    <w:p>
      <w:pPr>
        <w:pStyle w:val="Heading2"/>
        <w:spacing w:after="80" w:before="300"/>
      </w:pPr>
      <w:r>
        <w:rPr>
          <w:rFonts w:ascii="Arial" w:cs="Arial" w:eastAsia="Arial" w:hAnsi="Arial"/>
          <w:b/>
          <w:bCs/>
          <w:color w:val="1B4F72"/>
          <w:sz w:val="26"/>
          <w:szCs w:val="26"/>
        </w:rPr>
        <w:t xml:space="preserve">8.1 What Users Will Pay For vs. Expect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760"/>
      </w:tblGrid>
      <w:tr>
        <w:trPr>
          <w:tblHeader/>
        </w:trPr>
        <w:tc>
          <w:tcPr>
            <w:tcW w:type="dxa" w:w="34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Feature</w:t>
            </w:r>
          </w:p>
        </w:tc>
        <w:tc>
          <w:tcPr>
            <w:tcW w:type="dxa" w:w="12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Paid?</w:t>
            </w:r>
          </w:p>
        </w:tc>
        <w:tc>
          <w:tcPr>
            <w:tcW w:type="dxa" w:w="476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Rationale</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Basic MVHR design calculation (10 credits)</w:t>
            </w:r>
          </w:p>
        </w:tc>
        <w:tc>
          <w:tcPr>
            <w:tcW w:type="dxa" w:w="1200"/>
            <w:tcBorders>
              <w:top w:val="single" w:color="CCCCCC" w:sz="1"/>
              <w:left w:val="single" w:color="CCCCCC" w:sz="1"/>
              <w:bottom w:val="single" w:color="CCCCCC" w:sz="1"/>
              <w:right w:val="single" w:color="CCCCCC" w:sz="1"/>
            </w:tcBorders>
            <w:shd w:fill="D5F5E3"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1E8449"/>
                <w:sz w:val="18"/>
                <w:szCs w:val="18"/>
              </w:rPr>
              <w:t xml:space="preserve">Paid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Core transaction — high willingness to pay; replaces hours of manual PHPP work</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AI floor plan analysis (3 credits per storey)</w:t>
            </w:r>
          </w:p>
        </w:tc>
        <w:tc>
          <w:tcPr>
            <w:tcW w:type="dxa" w:w="1200"/>
            <w:tcBorders>
              <w:top w:val="single" w:color="CCCCCC" w:sz="1"/>
              <w:left w:val="single" w:color="CCCCCC" w:sz="1"/>
              <w:bottom w:val="single" w:color="CCCCCC" w:sz="1"/>
              <w:right w:val="single" w:color="CCCCCC" w:sz="1"/>
            </w:tcBorders>
            <w:shd w:fill="D5F5E3"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1E8449"/>
                <w:sz w:val="18"/>
                <w:szCs w:val="18"/>
              </w:rPr>
              <w:t xml:space="preserve">Paid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Clear AI differentiation; saves 30–60 min of manual room entry per project</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Advanced unit selection scoring</w:t>
            </w:r>
          </w:p>
        </w:tc>
        <w:tc>
          <w:tcPr>
            <w:tcW w:type="dxa" w:w="12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4D5656"/>
                <w:sz w:val="18"/>
                <w:szCs w:val="18"/>
              </w:rPr>
              <w:t xml:space="preserve">Free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Builds trust and adoption; doesn't justify a gate; competitors don't have it</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Redesign (2 credits)</w:t>
            </w:r>
          </w:p>
        </w:tc>
        <w:tc>
          <w:tcPr>
            <w:tcW w:type="dxa" w:w="1200"/>
            <w:tcBorders>
              <w:top w:val="single" w:color="CCCCCC" w:sz="1"/>
              <w:left w:val="single" w:color="CCCCCC" w:sz="1"/>
              <w:bottom w:val="single" w:color="CCCCCC" w:sz="1"/>
              <w:right w:val="single" w:color="CCCCCC" w:sz="1"/>
            </w:tcBorders>
            <w:shd w:fill="D5F5E3"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1E8449"/>
                <w:sz w:val="18"/>
                <w:szCs w:val="18"/>
              </w:rPr>
              <w:t xml:space="preserve">Paid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Incremental — justified by compute cost</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BOM export (PDF/XLSX)</w:t>
            </w:r>
          </w:p>
        </w:tc>
        <w:tc>
          <w:tcPr>
            <w:tcW w:type="dxa" w:w="12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4D5656"/>
                <w:sz w:val="18"/>
                <w:szCs w:val="18"/>
              </w:rPr>
              <w:t xml:space="preserve">Free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Users expect this; gating it causes churn; makes HiPer essential not optional</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Supplier data import (5–15 credits per catalogue)</w:t>
            </w:r>
          </w:p>
        </w:tc>
        <w:tc>
          <w:tcPr>
            <w:tcW w:type="dxa" w:w="1200"/>
            <w:tcBorders>
              <w:top w:val="single" w:color="CCCCCC" w:sz="1"/>
              <w:left w:val="single" w:color="CCCCCC" w:sz="1"/>
              <w:bottom w:val="single" w:color="CCCCCC" w:sz="1"/>
              <w:right w:val="single" w:color="CCCCCC" w:sz="1"/>
            </w:tcBorders>
            <w:shd w:fill="D5F5E3"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1E8449"/>
                <w:sz w:val="18"/>
                <w:szCs w:val="18"/>
              </w:rPr>
              <w:t xml:space="preserve">Paid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High value for wholesalers and system integrators; admin-level feature</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Commissioning workflow</w:t>
            </w:r>
          </w:p>
        </w:tc>
        <w:tc>
          <w:tcPr>
            <w:tcW w:type="dxa" w:w="12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4D5656"/>
                <w:sz w:val="18"/>
                <w:szCs w:val="18"/>
              </w:rPr>
              <w:t xml:space="preserve">Free (basic) / Paid (advanced)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Basic checklist free; auto-generated commissioning report with test data costs credits</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Company workspace (shared projects)</w:t>
            </w:r>
          </w:p>
        </w:tc>
        <w:tc>
          <w:tcPr>
            <w:tcW w:type="dxa" w:w="1200"/>
            <w:tcBorders>
              <w:top w:val="single" w:color="CCCCCC" w:sz="1"/>
              <w:left w:val="single" w:color="CCCCCC" w:sz="1"/>
              <w:bottom w:val="single" w:color="CCCCCC" w:sz="1"/>
              <w:right w:val="single" w:color="CCCCCC" w:sz="1"/>
            </w:tcBorders>
            <w:shd w:fill="D5F5E3"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1E8449"/>
                <w:sz w:val="18"/>
                <w:szCs w:val="18"/>
              </w:rPr>
              <w:t xml:space="preserve">Paid tier</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Requires company plan; price per seat or per month credit bundle</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Duct system intelligence + pressure report</w:t>
            </w:r>
          </w:p>
        </w:tc>
        <w:tc>
          <w:tcPr>
            <w:tcW w:type="dxa" w:w="1200"/>
            <w:tcBorders>
              <w:top w:val="single" w:color="CCCCCC" w:sz="1"/>
              <w:left w:val="single" w:color="CCCCCC" w:sz="1"/>
              <w:bottom w:val="single" w:color="CCCCCC" w:sz="1"/>
              <w:right w:val="single" w:color="CCCCCC" w:sz="1"/>
            </w:tcBorders>
            <w:shd w:fill="D5F5E3"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1E8449"/>
                <w:sz w:val="18"/>
                <w:szCs w:val="18"/>
              </w:rPr>
              <w:t xml:space="preserve">Paid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Replaces a specialist consultant check; high willingness to pay</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Climate zone auto-detect from postcode</w:t>
            </w:r>
          </w:p>
        </w:tc>
        <w:tc>
          <w:tcPr>
            <w:tcW w:type="dxa" w:w="12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4D5656"/>
                <w:sz w:val="18"/>
                <w:szCs w:val="18"/>
              </w:rPr>
              <w:t xml:space="preserve">Free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Reduces friction; increases calculation accuracy; drives engagement</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PHI-certified unit database access</w:t>
            </w:r>
          </w:p>
        </w:tc>
        <w:tc>
          <w:tcPr>
            <w:tcW w:type="dxa" w:w="12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4D5656"/>
                <w:sz w:val="18"/>
                <w:szCs w:val="18"/>
              </w:rPr>
              <w:t xml:space="preserve">Free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Already free; remain free — it's table stakes</w:t>
            </w:r>
          </w:p>
        </w:tc>
      </w:tr>
    </w:tbl>
    <w:p>
      <w:pPr>
        <w:spacing w:after="200" w:before="0"/>
      </w:pPr>
      <w:r>
        <w:t xml:space="preserve"/>
      </w:r>
    </w:p>
    <w:p>
      <w:pPr>
        <w:pStyle w:val="Heading2"/>
        <w:spacing w:after="80" w:before="300"/>
      </w:pPr>
      <w:r>
        <w:rPr>
          <w:rFonts w:ascii="Arial" w:cs="Arial" w:eastAsia="Arial" w:hAnsi="Arial"/>
          <w:b/>
          <w:bCs/>
          <w:color w:val="1B4F72"/>
          <w:sz w:val="26"/>
          <w:szCs w:val="26"/>
        </w:rPr>
        <w:t xml:space="preserve">8.2 Recommended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800"/>
        <w:gridCol w:w="2000"/>
        <w:gridCol w:w="2560"/>
      </w:tblGrid>
      <w:tr>
        <w:trPr>
          <w:tblHeader/>
        </w:trPr>
        <w:tc>
          <w:tcPr>
            <w:tcW w:type="dxa" w:w="16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Tier</w:t>
            </w:r>
          </w:p>
        </w:tc>
        <w:tc>
          <w:tcPr>
            <w:tcW w:type="dxa" w:w="14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Price</w:t>
            </w:r>
          </w:p>
        </w:tc>
        <w:tc>
          <w:tcPr>
            <w:tcW w:type="dxa" w:w="18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Credits / Month</w:t>
            </w:r>
          </w:p>
        </w:tc>
        <w:tc>
          <w:tcPr>
            <w:tcW w:type="dxa" w:w="20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Target User</w:t>
            </w:r>
          </w:p>
        </w:tc>
        <w:tc>
          <w:tcPr>
            <w:tcW w:type="dxa" w:w="256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Key Limits</w:t>
            </w:r>
          </w:p>
        </w:tc>
      </w:tr>
      <w:tr>
        <w:tc>
          <w:tcPr>
            <w:tcW w:type="dxa" w:w="16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4D5656"/>
                <w:sz w:val="18"/>
                <w:szCs w:val="18"/>
              </w:rPr>
              <w:t xml:space="preserve">Free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0 (buy as needed)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Students, occasional users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iCs/>
                <w:color w:val="4D5656"/>
                <w:sz w:val="18"/>
                <w:szCs w:val="18"/>
              </w:rPr>
              <w:t xml:space="preserve">No AI plan analysis; no company workspace; 3 projects max</w:t>
            </w:r>
          </w:p>
        </w:tc>
      </w:tr>
      <w:tr>
        <w:tc>
          <w:tcPr>
            <w:tcW w:type="dxa" w:w="1600"/>
            <w:tcBorders>
              <w:top w:val="single" w:color="CCCCCC" w:sz="1"/>
              <w:left w:val="single" w:color="CCCCCC" w:sz="1"/>
              <w:bottom w:val="single" w:color="CCCCCC" w:sz="1"/>
              <w:right w:val="single" w:color="CCCCCC" w:sz="1"/>
            </w:tcBorders>
            <w:shd w:fill="D6EAF8"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1B4F72"/>
                <w:sz w:val="18"/>
                <w:szCs w:val="18"/>
              </w:rPr>
              <w:t xml:space="preserve">Designer</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$99/mo</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50 credits included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Solo consultants, Passive House designers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iCs/>
                <w:color w:val="4D5656"/>
                <w:sz w:val="18"/>
                <w:szCs w:val="18"/>
              </w:rPr>
              <w:t xml:space="preserve">AI plan analysis; duct reports; BOM export; single user</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148F77"/>
                <w:sz w:val="18"/>
                <w:szCs w:val="18"/>
              </w:rPr>
              <w:t xml:space="preserve">Studio</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$249/mo</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150 credits included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Small practices (2–5 users)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iCs/>
                <w:color w:val="4D5656"/>
                <w:sz w:val="18"/>
                <w:szCs w:val="18"/>
              </w:rPr>
              <w:t xml:space="preserve">All Designer features; company workspace; shared pool; supplier import</w:t>
            </w:r>
          </w:p>
        </w:tc>
      </w:tr>
      <w:tr>
        <w:tc>
          <w:tcPr>
            <w:tcW w:type="dxa" w:w="1600"/>
            <w:tcBorders>
              <w:top w:val="single" w:color="CCCCCC" w:sz="1"/>
              <w:left w:val="single" w:color="CCCCCC" w:sz="1"/>
              <w:bottom w:val="single" w:color="CCCCCC" w:sz="1"/>
              <w:right w:val="single" w:color="CCCCCC" w:sz="1"/>
            </w:tcBorders>
            <w:shd w:fill="D5F5E3"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1E8449"/>
                <w:sz w:val="18"/>
                <w:szCs w:val="18"/>
              </w:rPr>
              <w:t xml:space="preserve">Professional</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$599/mo</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500 credits included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Larger firms, HVAC contractors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iCs/>
                <w:color w:val="4D5656"/>
                <w:sz w:val="18"/>
                <w:szCs w:val="18"/>
              </w:rPr>
              <w:t xml:space="preserve">All Studio; 10 users; API access; dedicated support; volume BOM</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6C3483"/>
                <w:sz w:val="18"/>
                <w:szCs w:val="18"/>
              </w:rPr>
              <w:t xml:space="preserve">Enterprise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Custom</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Unlimited or large bundle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National builders, large consultancies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iCs/>
                <w:color w:val="4D5656"/>
                <w:sz w:val="18"/>
                <w:szCs w:val="18"/>
              </w:rPr>
              <w:t xml:space="preserve">SSO, custom integrations, SLA, training</w:t>
            </w:r>
          </w:p>
        </w:tc>
      </w:tr>
    </w:tbl>
    <w:p>
      <w:pPr>
        <w:spacing w:after="200" w:before="0"/>
      </w:pPr>
      <w:r>
        <w:t xml:space="preserve"/>
      </w:r>
    </w:p>
    <w:p>
      <w:pPr>
        <w:pStyle w:val="Heading2"/>
        <w:spacing w:after="80" w:before="300"/>
      </w:pPr>
      <w:r>
        <w:rPr>
          <w:rFonts w:ascii="Arial" w:cs="Arial" w:eastAsia="Arial" w:hAnsi="Arial"/>
          <w:b/>
          <w:bCs/>
          <w:color w:val="1B4F72"/>
          <w:sz w:val="26"/>
          <w:szCs w:val="26"/>
        </w:rPr>
        <w:t xml:space="preserve">8.3 Competitive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000"/>
        <w:gridCol w:w="1960"/>
      </w:tblGrid>
      <w:tr>
        <w:trPr>
          <w:tblHeader/>
        </w:trPr>
        <w:tc>
          <w:tcPr>
            <w:tcW w:type="dxa" w:w="32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Capability</w:t>
            </w:r>
          </w:p>
        </w:tc>
        <w:tc>
          <w:tcPr>
            <w:tcW w:type="dxa" w:w="22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HiPer Studio (after Phase 1–4)</w:t>
            </w:r>
          </w:p>
        </w:tc>
        <w:tc>
          <w:tcPr>
            <w:tcW w:type="dxa" w:w="20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Ventplan</w:t>
            </w:r>
          </w:p>
        </w:tc>
        <w:tc>
          <w:tcPr>
            <w:tcW w:type="dxa" w:w="196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Spreadsheet workflow</w:t>
            </w:r>
          </w:p>
        </w:tc>
      </w:tr>
      <w:tr>
        <w:tc>
          <w:tcPr>
            <w:tcW w:type="dxa" w:w="32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AI floor plan reading</w:t>
            </w:r>
          </w:p>
        </w:tc>
        <w:tc>
          <w:tcPr>
            <w:tcW w:type="dxa" w:w="2200"/>
            <w:tcBorders>
              <w:top w:val="single" w:color="CCCCCC" w:sz="1"/>
              <w:left w:val="single" w:color="CCCCCC" w:sz="1"/>
              <w:bottom w:val="single" w:color="CCCCCC" w:sz="1"/>
              <w:right w:val="single" w:color="CCCCCC" w:sz="1"/>
            </w:tcBorders>
            <w:shd w:fill="D5F5E3"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1E8449"/>
                <w:sz w:val="18"/>
                <w:szCs w:val="18"/>
              </w:rPr>
              <w:t xml:space="preserve">✅ Phase 1</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C0392B"/>
                <w:sz w:val="18"/>
                <w:szCs w:val="18"/>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C0392B"/>
                <w:sz w:val="18"/>
                <w:szCs w:val="18"/>
              </w:rPr>
              <w:t xml:space="preserve">❌</w:t>
            </w:r>
          </w:p>
        </w:tc>
      </w:tr>
      <w:tr>
        <w:tc>
          <w:tcPr>
            <w:tcW w:type="dxa" w:w="32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PHI-certified unit database</w:t>
            </w:r>
          </w:p>
        </w:tc>
        <w:tc>
          <w:tcPr>
            <w:tcW w:type="dxa" w:w="2200"/>
            <w:tcBorders>
              <w:top w:val="single" w:color="CCCCCC" w:sz="1"/>
              <w:left w:val="single" w:color="CCCCCC" w:sz="1"/>
              <w:bottom w:val="single" w:color="CCCCCC" w:sz="1"/>
              <w:right w:val="single" w:color="CCCCCC" w:sz="1"/>
            </w:tcBorders>
            <w:shd w:fill="D5F5E3"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1E8449"/>
                <w:sz w:val="18"/>
                <w:szCs w:val="18"/>
              </w:rPr>
              <w:t xml:space="preserve">✅ 354 units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4D5656"/>
                <w:sz w:val="18"/>
                <w:szCs w:val="18"/>
              </w:rPr>
              <w:t xml:space="preserve">Partial</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4D5656"/>
                <w:sz w:val="18"/>
                <w:szCs w:val="18"/>
              </w:rPr>
              <w:t xml:space="preserve">Manual lookup</w:t>
            </w:r>
          </w:p>
        </w:tc>
      </w:tr>
      <w:tr>
        <w:tc>
          <w:tcPr>
            <w:tcW w:type="dxa" w:w="32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Multi-factor unit scoring</w:t>
            </w:r>
          </w:p>
        </w:tc>
        <w:tc>
          <w:tcPr>
            <w:tcW w:type="dxa" w:w="2200"/>
            <w:tcBorders>
              <w:top w:val="single" w:color="CCCCCC" w:sz="1"/>
              <w:left w:val="single" w:color="CCCCCC" w:sz="1"/>
              <w:bottom w:val="single" w:color="CCCCCC" w:sz="1"/>
              <w:right w:val="single" w:color="CCCCCC" w:sz="1"/>
            </w:tcBorders>
            <w:shd w:fill="D5F5E3"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1E8449"/>
                <w:sz w:val="18"/>
                <w:szCs w:val="18"/>
              </w:rPr>
              <w:t xml:space="preserve">✅ Phase 2</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4D5656"/>
                <w:sz w:val="18"/>
                <w:szCs w:val="18"/>
              </w:rPr>
              <w:t xml:space="preserve">Basic</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C0392B"/>
                <w:sz w:val="18"/>
                <w:szCs w:val="18"/>
              </w:rPr>
              <w:t xml:space="preserve">❌</w:t>
            </w:r>
          </w:p>
        </w:tc>
      </w:tr>
      <w:tr>
        <w:tc>
          <w:tcPr>
            <w:tcW w:type="dxa" w:w="32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Duct pressure &amp; balancing</w:t>
            </w:r>
          </w:p>
        </w:tc>
        <w:tc>
          <w:tcPr>
            <w:tcW w:type="dxa" w:w="2200"/>
            <w:tcBorders>
              <w:top w:val="single" w:color="CCCCCC" w:sz="1"/>
              <w:left w:val="single" w:color="CCCCCC" w:sz="1"/>
              <w:bottom w:val="single" w:color="CCCCCC" w:sz="1"/>
              <w:right w:val="single" w:color="CCCCCC" w:sz="1"/>
            </w:tcBorders>
            <w:shd w:fill="D5F5E3"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1E8449"/>
                <w:sz w:val="18"/>
                <w:szCs w:val="18"/>
              </w:rPr>
              <w:t xml:space="preserve">✅ Phase 3</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1E8449"/>
                <w:sz w:val="18"/>
                <w:szCs w:val="18"/>
              </w:rPr>
              <w:t xml:space="preserve">✅ Established</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4D5656"/>
                <w:sz w:val="18"/>
                <w:szCs w:val="18"/>
              </w:rPr>
              <w:t xml:space="preserve">Manual/estimate</w:t>
            </w:r>
          </w:p>
        </w:tc>
      </w:tr>
      <w:tr>
        <w:tc>
          <w:tcPr>
            <w:tcW w:type="dxa" w:w="32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Supplier catalogue import</w:t>
            </w:r>
          </w:p>
        </w:tc>
        <w:tc>
          <w:tcPr>
            <w:tcW w:type="dxa" w:w="2200"/>
            <w:tcBorders>
              <w:top w:val="single" w:color="CCCCCC" w:sz="1"/>
              <w:left w:val="single" w:color="CCCCCC" w:sz="1"/>
              <w:bottom w:val="single" w:color="CCCCCC" w:sz="1"/>
              <w:right w:val="single" w:color="CCCCCC" w:sz="1"/>
            </w:tcBorders>
            <w:shd w:fill="D5F5E3"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1E8449"/>
                <w:sz w:val="18"/>
                <w:szCs w:val="18"/>
              </w:rPr>
              <w:t xml:space="preserve">✅ Phase 4</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C0392B"/>
                <w:sz w:val="18"/>
                <w:szCs w:val="18"/>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C0392B"/>
                <w:sz w:val="18"/>
                <w:szCs w:val="18"/>
              </w:rPr>
              <w:t xml:space="preserve">❌</w:t>
            </w:r>
          </w:p>
        </w:tc>
      </w:tr>
      <w:tr>
        <w:tc>
          <w:tcPr>
            <w:tcW w:type="dxa" w:w="32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Team workspaces</w:t>
            </w:r>
          </w:p>
        </w:tc>
        <w:tc>
          <w:tcPr>
            <w:tcW w:type="dxa" w:w="2200"/>
            <w:tcBorders>
              <w:top w:val="single" w:color="CCCCCC" w:sz="1"/>
              <w:left w:val="single" w:color="CCCCCC" w:sz="1"/>
              <w:bottom w:val="single" w:color="CCCCCC" w:sz="1"/>
              <w:right w:val="single" w:color="CCCCCC" w:sz="1"/>
            </w:tcBorders>
            <w:shd w:fill="D5F5E3"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1E8449"/>
                <w:sz w:val="18"/>
                <w:szCs w:val="18"/>
              </w:rPr>
              <w:t xml:space="preserve">✅ Phase 5</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C0392B"/>
                <w:sz w:val="18"/>
                <w:szCs w:val="18"/>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4D5656"/>
                <w:sz w:val="18"/>
                <w:szCs w:val="18"/>
              </w:rPr>
              <w:t xml:space="preserve">Google Drive workaround</w:t>
            </w:r>
          </w:p>
        </w:tc>
      </w:tr>
      <w:tr>
        <w:tc>
          <w:tcPr>
            <w:tcW w:type="dxa" w:w="32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Stripe-integrated billing</w:t>
            </w:r>
          </w:p>
        </w:tc>
        <w:tc>
          <w:tcPr>
            <w:tcW w:type="dxa" w:w="2200"/>
            <w:tcBorders>
              <w:top w:val="single" w:color="CCCCCC" w:sz="1"/>
              <w:left w:val="single" w:color="CCCCCC" w:sz="1"/>
              <w:bottom w:val="single" w:color="CCCCCC" w:sz="1"/>
              <w:right w:val="single" w:color="CCCCCC" w:sz="1"/>
            </w:tcBorders>
            <w:shd w:fill="D5F5E3"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1E8449"/>
                <w:sz w:val="18"/>
                <w:szCs w:val="18"/>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C0392B"/>
                <w:sz w:val="18"/>
                <w:szCs w:val="18"/>
              </w:rPr>
              <w:t xml:space="preserve">❌ (invoice-based)</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4D5656"/>
                <w:sz w:val="18"/>
                <w:szCs w:val="18"/>
              </w:rPr>
              <w:t xml:space="preserve">N/A</w:t>
            </w:r>
          </w:p>
        </w:tc>
      </w:tr>
      <w:tr>
        <w:tc>
          <w:tcPr>
            <w:tcW w:type="dxa" w:w="32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Cloud / browser-based</w:t>
            </w:r>
          </w:p>
        </w:tc>
        <w:tc>
          <w:tcPr>
            <w:tcW w:type="dxa" w:w="2200"/>
            <w:tcBorders>
              <w:top w:val="single" w:color="CCCCCC" w:sz="1"/>
              <w:left w:val="single" w:color="CCCCCC" w:sz="1"/>
              <w:bottom w:val="single" w:color="CCCCCC" w:sz="1"/>
              <w:right w:val="single" w:color="CCCCCC" w:sz="1"/>
            </w:tcBorders>
            <w:shd w:fill="D5F5E3"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1E8449"/>
                <w:sz w:val="18"/>
                <w:szCs w:val="18"/>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4D5656"/>
                <w:sz w:val="18"/>
                <w:szCs w:val="18"/>
              </w:rPr>
              <w:t xml:space="preserve">Desktop app (Windows only)</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1E8449"/>
                <w:sz w:val="18"/>
                <w:szCs w:val="18"/>
              </w:rPr>
              <w:t xml:space="preserve">✅ (Google Sheets)</w:t>
            </w:r>
          </w:p>
        </w:tc>
      </w:tr>
      <w:tr>
        <w:tc>
          <w:tcPr>
            <w:tcW w:type="dxa" w:w="32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Australian climate zones</w:t>
            </w:r>
          </w:p>
        </w:tc>
        <w:tc>
          <w:tcPr>
            <w:tcW w:type="dxa" w:w="2200"/>
            <w:tcBorders>
              <w:top w:val="single" w:color="CCCCCC" w:sz="1"/>
              <w:left w:val="single" w:color="CCCCCC" w:sz="1"/>
              <w:bottom w:val="single" w:color="CCCCCC" w:sz="1"/>
              <w:right w:val="single" w:color="CCCCCC" w:sz="1"/>
            </w:tcBorders>
            <w:shd w:fill="D5F5E3"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1E8449"/>
                <w:sz w:val="18"/>
                <w:szCs w:val="18"/>
              </w:rPr>
              <w:t xml:space="preserve">✅ Phase 2</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C0392B"/>
                <w:sz w:val="18"/>
                <w:szCs w:val="18"/>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4D5656"/>
                <w:sz w:val="18"/>
                <w:szCs w:val="18"/>
              </w:rPr>
              <w:t xml:space="preserve">Manual</w:t>
            </w:r>
          </w:p>
        </w:tc>
      </w:tr>
      <w:tr>
        <w:tc>
          <w:tcPr>
            <w:tcW w:type="dxa" w:w="32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Commissioning reports</w:t>
            </w:r>
          </w:p>
        </w:tc>
        <w:tc>
          <w:tcPr>
            <w:tcW w:type="dxa" w:w="2200"/>
            <w:tcBorders>
              <w:top w:val="single" w:color="CCCCCC" w:sz="1"/>
              <w:left w:val="single" w:color="CCCCCC" w:sz="1"/>
              <w:bottom w:val="single" w:color="CCCCCC" w:sz="1"/>
              <w:right w:val="single" w:color="CCCCCC" w:sz="1"/>
            </w:tcBorders>
            <w:shd w:fill="D5F5E3"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1E8449"/>
                <w:sz w:val="18"/>
                <w:szCs w:val="18"/>
              </w:rPr>
              <w:t xml:space="preserve">✅ (basic)</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C0392B"/>
                <w:sz w:val="18"/>
                <w:szCs w:val="18"/>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4D5656"/>
                <w:sz w:val="18"/>
                <w:szCs w:val="18"/>
              </w:rPr>
              <w:t xml:space="preserve">Manual templates</w:t>
            </w:r>
          </w:p>
        </w:tc>
      </w:tr>
    </w:tbl>
    <w:p>
      <w:pPr>
        <w:spacing w:after="200" w:before="0"/>
      </w:pPr>
      <w:r>
        <w:t xml:space="preserve"/>
      </w:r>
    </w:p>
    <w:p>
      <w:pPr>
        <w:pStyle w:val="Heading2"/>
        <w:spacing w:after="80" w:before="300"/>
      </w:pPr>
      <w:r>
        <w:rPr>
          <w:rFonts w:ascii="Arial" w:cs="Arial" w:eastAsia="Arial" w:hAnsi="Arial"/>
          <w:b/>
          <w:bCs/>
          <w:color w:val="1B4F72"/>
          <w:sz w:val="26"/>
          <w:szCs w:val="26"/>
        </w:rPr>
        <w:t xml:space="preserve">8.4 AI Feature Justification for Premium Pricing</w:t>
      </w:r>
    </w:p>
    <w:p>
      <w:pPr>
        <w:pStyle w:val="ListParagraph"/>
        <w:numPr>
          <w:ilvl w:val="0"/>
          <w:numId w:val="2"/>
        </w:numPr>
        <w:spacing w:after="50" w:before="0"/>
      </w:pPr>
      <w:r>
        <w:rPr>
          <w:rFonts w:ascii="Arial" w:cs="Arial" w:eastAsia="Arial" w:hAnsi="Arial"/>
          <w:color w:val="000000"/>
          <w:sz w:val="20"/>
          <w:szCs w:val="20"/>
        </w:rPr>
        <w:t xml:space="preserve">AI plan analysis saves 30–60 minutes per project. At a consultant rate of $120/hr, that's $60–$120 saved per design. Charging 3 credits ($10.47 at single-design pricing) is well below the value delivered.</w:t>
      </w:r>
    </w:p>
    <w:p>
      <w:pPr>
        <w:pStyle w:val="ListParagraph"/>
        <w:numPr>
          <w:ilvl w:val="0"/>
          <w:numId w:val="2"/>
        </w:numPr>
        <w:spacing w:after="50" w:before="0"/>
      </w:pPr>
      <w:r>
        <w:rPr>
          <w:rFonts w:ascii="Arial" w:cs="Arial" w:eastAsia="Arial" w:hAnsi="Arial"/>
          <w:color w:val="000000"/>
          <w:sz w:val="20"/>
          <w:szCs w:val="20"/>
        </w:rPr>
        <w:t xml:space="preserve">Supplier catalogue import replaces manual data entry that would take 2–8 hours per catalogue. Even at $50 one-off import credit cost, the ROI is immediate.</w:t>
      </w:r>
    </w:p>
    <w:p>
      <w:pPr>
        <w:pStyle w:val="ListParagraph"/>
        <w:numPr>
          <w:ilvl w:val="0"/>
          <w:numId w:val="2"/>
        </w:numPr>
        <w:spacing w:after="50" w:before="0"/>
      </w:pPr>
      <w:r>
        <w:rPr>
          <w:rFonts w:ascii="Arial" w:cs="Arial" w:eastAsia="Arial" w:hAnsi="Arial"/>
          <w:color w:val="000000"/>
          <w:sz w:val="20"/>
          <w:szCs w:val="20"/>
        </w:rPr>
        <w:t xml:space="preserve">Duct system intelligence with a balancing report replaces a specialist check that would cost $200–$400 externally. This justifies the Studio/Professional tier on its own.</w:t>
      </w:r>
    </w:p>
    <w:p>
      <w:pPr>
        <w:spacing w:after="100" w:before="0"/>
      </w:pPr>
      <w:r>
        <w:t xml:space="preserve"/>
      </w:r>
    </w:p>
    <w:p>
      <w:r>
        <w:br w:type="page"/>
      </w:r>
    </w:p>
    <w:p>
      <w:pPr>
        <w:pStyle w:val="Heading1"/>
        <w:pBdr>
          <w:bottom w:val="single" w:color="1B4F72" w:sz="6" w:space="4"/>
        </w:pBdr>
        <w:spacing w:after="140" w:before="400"/>
      </w:pPr>
      <w:r>
        <w:rPr>
          <w:rFonts w:ascii="Arial" w:cs="Arial" w:eastAsia="Arial" w:hAnsi="Arial"/>
          <w:b/>
          <w:bCs/>
          <w:color w:val="1B4F72"/>
          <w:sz w:val="34"/>
          <w:szCs w:val="34"/>
        </w:rPr>
        <w:t xml:space="preserve">9. Development Roadmap</w:t>
      </w:r>
    </w:p>
    <w:p>
      <w:pPr>
        <w:spacing w:after="80" w:before="0"/>
      </w:pPr>
      <w:r>
        <w:rPr>
          <w:rFonts w:ascii="Arial" w:cs="Arial" w:eastAsia="Arial" w:hAnsi="Arial"/>
          <w:sz w:val="20"/>
          <w:szCs w:val="20"/>
        </w:rPr>
        <w:t xml:space="preserve">Ordered by revenue impact × user value × ease of implementation. Phase 1 (AI Plan) and Phase 2 (Unit Scoring) deliver the highest return per development hour and should be prioritised.</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700"/>
        <w:gridCol w:w="1700"/>
        <w:gridCol w:w="1800"/>
        <w:gridCol w:w="900"/>
      </w:tblGrid>
      <w:tr>
        <w:trPr>
          <w:tblHeader/>
        </w:trPr>
        <w:tc>
          <w:tcPr>
            <w:tcW w:type="dxa" w:w="12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Phase</w:t>
            </w:r>
          </w:p>
        </w:tc>
        <w:tc>
          <w:tcPr>
            <w:tcW w:type="dxa" w:w="37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Key Deliverables</w:t>
            </w:r>
          </w:p>
        </w:tc>
        <w:tc>
          <w:tcPr>
            <w:tcW w:type="dxa" w:w="17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Estimated Effort</w:t>
            </w:r>
          </w:p>
        </w:tc>
        <w:tc>
          <w:tcPr>
            <w:tcW w:type="dxa" w:w="18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Revenue Impact</w:t>
            </w:r>
          </w:p>
        </w:tc>
        <w:tc>
          <w:tcPr>
            <w:tcW w:type="dxa" w:w="9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Priority</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148F77"/>
                <w:sz w:val="18"/>
                <w:szCs w:val="18"/>
              </w:rPr>
              <w:t xml:space="preserve">1 — AI Plan</w:t>
            </w:r>
          </w:p>
        </w:tc>
        <w:tc>
          <w:tcPr>
            <w:tcW w:type="dxa" w:w="3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Upload pipeline, Claude Vision integration, room schedule auto-population, confidence UI, 3-credit gate</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148F77"/>
                <w:sz w:val="18"/>
                <w:szCs w:val="18"/>
              </w:rPr>
              <w:t xml:space="preserve">3–4 weeks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 High</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148F77"/>
                <w:sz w:val="18"/>
                <w:szCs w:val="18"/>
              </w:rPr>
              <w:t xml:space="preserve">1st</w:t>
            </w:r>
          </w:p>
        </w:tc>
      </w:tr>
      <w:tr>
        <w:tc>
          <w:tcPr>
            <w:tcW w:type="dxa" w:w="1200"/>
            <w:tcBorders>
              <w:top w:val="single" w:color="CCCCCC" w:sz="1"/>
              <w:left w:val="single" w:color="CCCCCC" w:sz="1"/>
              <w:bottom w:val="single" w:color="CCCCCC" w:sz="1"/>
              <w:right w:val="single" w:color="CCCCCC" w:sz="1"/>
            </w:tcBorders>
            <w:shd w:fill="D5F5E3"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1E8449"/>
                <w:sz w:val="18"/>
                <w:szCs w:val="18"/>
              </w:rPr>
              <w:t xml:space="preserve">2 — Unit Score</w:t>
            </w:r>
          </w:p>
        </w:tc>
        <w:tc>
          <w:tcPr>
            <w:tcW w:type="dxa" w:w="3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Multi-factor scoring, four-category output, score breakdown UI, climate zone field</w:t>
            </w:r>
          </w:p>
        </w:tc>
        <w:tc>
          <w:tcPr>
            <w:tcW w:type="dxa" w:w="1700"/>
            <w:tcBorders>
              <w:top w:val="single" w:color="CCCCCC" w:sz="1"/>
              <w:left w:val="single" w:color="CCCCCC" w:sz="1"/>
              <w:bottom w:val="single" w:color="CCCCCC" w:sz="1"/>
              <w:right w:val="single" w:color="CCCCCC" w:sz="1"/>
            </w:tcBorders>
            <w:shd w:fill="D5F5E3"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1E8449"/>
                <w:sz w:val="18"/>
                <w:szCs w:val="18"/>
              </w:rPr>
              <w:t xml:space="preserve">1–2 weeks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 Medium (retention)</w:t>
            </w:r>
          </w:p>
        </w:tc>
        <w:tc>
          <w:tcPr>
            <w:tcW w:type="dxa" w:w="900"/>
            <w:tcBorders>
              <w:top w:val="single" w:color="CCCCCC" w:sz="1"/>
              <w:left w:val="single" w:color="CCCCCC" w:sz="1"/>
              <w:bottom w:val="single" w:color="CCCCCC" w:sz="1"/>
              <w:right w:val="single" w:color="CCCCCC" w:sz="1"/>
            </w:tcBorders>
            <w:shd w:fill="D5F5E3"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1E8449"/>
                <w:sz w:val="18"/>
                <w:szCs w:val="18"/>
              </w:rPr>
              <w:t xml:space="preserve">2nd</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D35400"/>
                <w:sz w:val="18"/>
                <w:szCs w:val="18"/>
              </w:rPr>
              <w:t xml:space="preserve">5 — Company UI</w:t>
            </w:r>
          </w:p>
        </w:tc>
        <w:tc>
          <w:tcPr>
            <w:tcW w:type="dxa" w:w="3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Company dashboard, team management UI, shared project browser, activity feed, pool toggle</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D35400"/>
                <w:sz w:val="18"/>
                <w:szCs w:val="18"/>
              </w:rPr>
              <w:t xml:space="preserve">2–3 weeks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 High (unlocks Studio tier)</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D35400"/>
                <w:sz w:val="18"/>
                <w:szCs w:val="18"/>
              </w:rPr>
              <w:t xml:space="preserve">3rd</w:t>
            </w:r>
          </w:p>
        </w:tc>
      </w:tr>
      <w:tr>
        <w:tc>
          <w:tcPr>
            <w:tcW w:type="dxa" w:w="12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B7950B"/>
                <w:sz w:val="18"/>
                <w:szCs w:val="18"/>
              </w:rPr>
              <w:t xml:space="preserve">6 — Commercial</w:t>
            </w:r>
          </w:p>
        </w:tc>
        <w:tc>
          <w:tcPr>
            <w:tcW w:type="dxa" w:w="3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Implement tier gating, subscription billing (Stripe), upgrade/downgrade flows, pricing page</w:t>
            </w:r>
          </w:p>
        </w:tc>
        <w:tc>
          <w:tcPr>
            <w:tcW w:type="dxa" w:w="17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B7950B"/>
                <w:sz w:val="18"/>
                <w:szCs w:val="18"/>
              </w:rPr>
              <w:t xml:space="preserve">1–2 weeks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 Very High</w:t>
            </w:r>
          </w:p>
        </w:tc>
        <w:tc>
          <w:tcPr>
            <w:tcW w:type="dxa" w:w="9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B7950B"/>
                <w:sz w:val="18"/>
                <w:szCs w:val="18"/>
              </w:rPr>
              <w:t xml:space="preserve">4th</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6C3483"/>
                <w:sz w:val="18"/>
                <w:szCs w:val="18"/>
              </w:rPr>
              <w:t xml:space="preserve">4 — Supplier AI</w:t>
            </w:r>
          </w:p>
        </w:tc>
        <w:tc>
          <w:tcPr>
            <w:tcW w:type="dxa" w:w="3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File ingestion pipeline, AI extraction, staging review UI, supplier DB, price tracking</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6C3483"/>
                <w:sz w:val="18"/>
                <w:szCs w:val="18"/>
              </w:rPr>
              <w:t xml:space="preserve">3–4 weeks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 Medium (enables upsell)</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6C3483"/>
                <w:sz w:val="18"/>
                <w:szCs w:val="18"/>
              </w:rPr>
              <w:t xml:space="preserve">5th</w:t>
            </w:r>
          </w:p>
        </w:tc>
      </w:tr>
      <w:tr>
        <w:tc>
          <w:tcPr>
            <w:tcW w:type="dxa" w:w="1200"/>
            <w:tcBorders>
              <w:top w:val="single" w:color="CCCCCC" w:sz="1"/>
              <w:left w:val="single" w:color="CCCCCC" w:sz="1"/>
              <w:bottom w:val="single" w:color="CCCCCC" w:sz="1"/>
              <w:right w:val="single" w:color="CCCCCC" w:sz="1"/>
            </w:tcBorders>
            <w:shd w:fill="D6EAF8"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1B4F72"/>
                <w:sz w:val="18"/>
                <w:szCs w:val="18"/>
              </w:rPr>
              <w:t xml:space="preserve">3 — Duct Engine</w:t>
            </w:r>
          </w:p>
        </w:tc>
        <w:tc>
          <w:tcPr>
            <w:tcW w:type="dxa" w:w="3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Graph-based pressure model, multi-diameter, trunk &amp; branch, check engine, balance report</w:t>
            </w:r>
          </w:p>
        </w:tc>
        <w:tc>
          <w:tcPr>
            <w:tcW w:type="dxa" w:w="1700"/>
            <w:tcBorders>
              <w:top w:val="single" w:color="CCCCCC" w:sz="1"/>
              <w:left w:val="single" w:color="CCCCCC" w:sz="1"/>
              <w:bottom w:val="single" w:color="CCCCCC" w:sz="1"/>
              <w:right w:val="single" w:color="CCCCCC" w:sz="1"/>
            </w:tcBorders>
            <w:shd w:fill="D6EAF8"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1B4F72"/>
                <w:sz w:val="18"/>
                <w:szCs w:val="18"/>
              </w:rPr>
              <w:t xml:space="preserve">4–6 weeks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 Medium (Professional tier)</w:t>
            </w:r>
          </w:p>
        </w:tc>
        <w:tc>
          <w:tcPr>
            <w:tcW w:type="dxa" w:w="900"/>
            <w:tcBorders>
              <w:top w:val="single" w:color="CCCCCC" w:sz="1"/>
              <w:left w:val="single" w:color="CCCCCC" w:sz="1"/>
              <w:bottom w:val="single" w:color="CCCCCC" w:sz="1"/>
              <w:right w:val="single" w:color="CCCCCC" w:sz="1"/>
            </w:tcBorders>
            <w:shd w:fill="D6EAF8"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1B4F72"/>
                <w:sz w:val="18"/>
                <w:szCs w:val="18"/>
              </w:rPr>
              <w:t xml:space="preserve">6th</w:t>
            </w:r>
          </w:p>
        </w:tc>
      </w:tr>
    </w:tbl>
    <w:p>
      <w:pPr>
        <w:spacing w:after="200" w:before="0"/>
      </w:pPr>
      <w:r>
        <w:t xml:space="preserve"/>
      </w:r>
    </w:p>
    <w:p>
      <w:pPr>
        <w:pStyle w:val="Heading2"/>
        <w:spacing w:after="80" w:before="300"/>
      </w:pPr>
      <w:r>
        <w:rPr>
          <w:rFonts w:ascii="Arial" w:cs="Arial" w:eastAsia="Arial" w:hAnsi="Arial"/>
          <w:b/>
          <w:bCs/>
          <w:color w:val="1B4F72"/>
          <w:sz w:val="26"/>
          <w:szCs w:val="26"/>
        </w:rPr>
        <w:t xml:space="preserve">9.1 Parallel Technical Foundations</w:t>
      </w:r>
    </w:p>
    <w:p>
      <w:pPr>
        <w:spacing w:after="80" w:before="0"/>
      </w:pPr>
      <w:r>
        <w:rPr>
          <w:rFonts w:ascii="Arial" w:cs="Arial" w:eastAsia="Arial" w:hAnsi="Arial"/>
          <w:sz w:val="20"/>
          <w:szCs w:val="20"/>
        </w:rPr>
        <w:t xml:space="preserve">These work items do not gate the phases above but should progress in parallel:</w:t>
      </w:r>
    </w:p>
    <w:p>
      <w:pPr>
        <w:pStyle w:val="ListParagraph"/>
        <w:numPr>
          <w:ilvl w:val="0"/>
          <w:numId w:val="2"/>
        </w:numPr>
        <w:spacing w:after="50" w:before="0"/>
      </w:pPr>
      <w:r>
        <w:rPr>
          <w:rFonts w:ascii="Arial" w:cs="Arial" w:eastAsia="Arial" w:hAnsi="Arial"/>
          <w:color w:val="000000"/>
          <w:sz w:val="20"/>
          <w:szCs w:val="20"/>
        </w:rPr>
        <w:t xml:space="preserve">Begin modularising index.html into ES modules (auth.js, credits.js, calculation.js, units.js, plan.js). Target: reduce to &lt; 500 lines of HTML by end of Phase 3.</w:t>
      </w:r>
    </w:p>
    <w:p>
      <w:pPr>
        <w:pStyle w:val="ListParagraph"/>
        <w:numPr>
          <w:ilvl w:val="0"/>
          <w:numId w:val="2"/>
        </w:numPr>
        <w:spacing w:after="50" w:before="0"/>
      </w:pPr>
      <w:r>
        <w:rPr>
          <w:rFonts w:ascii="Arial" w:cs="Arial" w:eastAsia="Arial" w:hAnsi="Arial"/>
          <w:color w:val="000000"/>
          <w:sz w:val="20"/>
          <w:szCs w:val="20"/>
        </w:rPr>
        <w:t xml:space="preserve">Add Vitest unit tests for the calculation engine (calculate(), ductPressureLoss(), scoring functions). Target: 80% coverage on calculation logic before Phase 3.</w:t>
      </w:r>
    </w:p>
    <w:p>
      <w:pPr>
        <w:pStyle w:val="ListParagraph"/>
        <w:numPr>
          <w:ilvl w:val="0"/>
          <w:numId w:val="2"/>
        </w:numPr>
        <w:spacing w:after="50" w:before="0"/>
      </w:pPr>
      <w:r>
        <w:rPr>
          <w:rFonts w:ascii="Arial" w:cs="Arial" w:eastAsia="Arial" w:hAnsi="Arial"/>
          <w:color w:val="000000"/>
          <w:sz w:val="20"/>
          <w:szCs w:val="20"/>
        </w:rPr>
        <w:t xml:space="preserve">Add Logflare or Axiom structured logging to all API routes. Essential before AI costs run at scale.</w:t>
      </w:r>
    </w:p>
    <w:p>
      <w:pPr>
        <w:pStyle w:val="ListParagraph"/>
        <w:numPr>
          <w:ilvl w:val="0"/>
          <w:numId w:val="2"/>
        </w:numPr>
        <w:spacing w:after="50" w:before="0"/>
      </w:pPr>
      <w:r>
        <w:rPr>
          <w:rFonts w:ascii="Arial" w:cs="Arial" w:eastAsia="Arial" w:hAnsi="Arial"/>
          <w:color w:val="000000"/>
          <w:sz w:val="20"/>
          <w:szCs w:val="20"/>
        </w:rPr>
        <w:t xml:space="preserve">Move Supabase anon key and URL to build-time environment variables (Vite config). Unblock the modularisation above.</w:t>
      </w:r>
    </w:p>
    <w:p>
      <w:pPr>
        <w:spacing w:after="200" w:before="0"/>
      </w:pPr>
      <w:r>
        <w:t xml:space="preserve"/>
      </w:r>
    </w:p>
    <w:p>
      <w:pPr>
        <w:pStyle w:val="Heading2"/>
        <w:spacing w:after="80" w:before="300"/>
      </w:pPr>
      <w:r>
        <w:rPr>
          <w:rFonts w:ascii="Arial" w:cs="Arial" w:eastAsia="Arial" w:hAnsi="Arial"/>
          <w:b/>
          <w:bCs/>
          <w:color w:val="1B4F72"/>
          <w:sz w:val="26"/>
          <w:szCs w:val="26"/>
        </w:rPr>
        <w:t xml:space="preserve">9.2 Database Changes Summary (all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3660"/>
      </w:tblGrid>
      <w:tr>
        <w:trPr>
          <w:tblHeader/>
        </w:trPr>
        <w:tc>
          <w:tcPr>
            <w:tcW w:type="dxa" w:w="42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Table / Change</w:t>
            </w:r>
          </w:p>
        </w:tc>
        <w:tc>
          <w:tcPr>
            <w:tcW w:type="dxa" w:w="15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Phase</w:t>
            </w:r>
          </w:p>
        </w:tc>
        <w:tc>
          <w:tcPr>
            <w:tcW w:type="dxa" w:w="366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Type</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projects: add ai_analysis_json jsonb, climate_zone text, system_type text</w:t>
            </w:r>
          </w:p>
        </w:tc>
        <w:tc>
          <w:tcPr>
            <w:tcW w:type="dxa" w:w="15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4D5656"/>
                <w:sz w:val="18"/>
                <w:szCs w:val="18"/>
              </w:rPr>
              <w:t xml:space="preserve">1+2</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iCs/>
                <w:color w:val="4D5656"/>
                <w:sz w:val="18"/>
                <w:szCs w:val="18"/>
              </w:rPr>
              <w:t xml:space="preserve">ALTER TABLE</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operation_costs: add ai_plan_analysis, ai_plan_analysis_storey rows</w:t>
            </w:r>
          </w:p>
        </w:tc>
        <w:tc>
          <w:tcPr>
            <w:tcW w:type="dxa" w:w="15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4D5656"/>
                <w:sz w:val="18"/>
                <w:szCs w:val="18"/>
              </w:rPr>
              <w:t xml:space="preserve">1</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iCs/>
                <w:color w:val="4D5656"/>
                <w:sz w:val="18"/>
                <w:szCs w:val="18"/>
              </w:rPr>
              <w:t xml:space="preserve">INSERT</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New table: plan_analysis_log (cost/latency monitoring)</w:t>
            </w:r>
          </w:p>
        </w:tc>
        <w:tc>
          <w:tcPr>
            <w:tcW w:type="dxa" w:w="15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4D5656"/>
                <w:sz w:val="18"/>
                <w:szCs w:val="18"/>
              </w:rPr>
              <w:t xml:space="preserve">1</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iCs/>
                <w:color w:val="4D5656"/>
                <w:sz w:val="18"/>
                <w:szCs w:val="18"/>
              </w:rPr>
              <w:t xml:space="preserve">CREATE TABLE</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New table: suppliers (supplier registry)</w:t>
            </w:r>
          </w:p>
        </w:tc>
        <w:tc>
          <w:tcPr>
            <w:tcW w:type="dxa" w:w="15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4D5656"/>
                <w:sz w:val="18"/>
                <w:szCs w:val="18"/>
              </w:rPr>
              <w:t xml:space="preserve">4</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iCs/>
                <w:color w:val="4D5656"/>
                <w:sz w:val="18"/>
                <w:szCs w:val="18"/>
              </w:rPr>
              <w:t xml:space="preserve">CREATE TABLE</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New table: supplier_import_staging (AI extraction staging)</w:t>
            </w:r>
          </w:p>
        </w:tc>
        <w:tc>
          <w:tcPr>
            <w:tcW w:type="dxa" w:w="15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4D5656"/>
                <w:sz w:val="18"/>
                <w:szCs w:val="18"/>
              </w:rPr>
              <w:t xml:space="preserve">4</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iCs/>
                <w:color w:val="4D5656"/>
                <w:sz w:val="18"/>
                <w:szCs w:val="18"/>
              </w:rPr>
              <w:t xml:space="preserve">CREATE TABLE</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New table: supplier_product_prices (price history)</w:t>
            </w:r>
          </w:p>
        </w:tc>
        <w:tc>
          <w:tcPr>
            <w:tcW w:type="dxa" w:w="15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4D5656"/>
                <w:sz w:val="18"/>
                <w:szCs w:val="18"/>
              </w:rPr>
              <w:t xml:space="preserve">4</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iCs/>
                <w:color w:val="4D5656"/>
                <w:sz w:val="18"/>
                <w:szCs w:val="18"/>
              </w:rPr>
              <w:t xml:space="preserve">CREATE TABLE</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New table: duct_products (manufacturer duct/fitting catalogue)</w:t>
            </w:r>
          </w:p>
        </w:tc>
        <w:tc>
          <w:tcPr>
            <w:tcW w:type="dxa" w:w="15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4D5656"/>
                <w:sz w:val="18"/>
                <w:szCs w:val="18"/>
              </w:rPr>
              <w:t xml:space="preserve">3</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iCs/>
                <w:color w:val="4D5656"/>
                <w:sz w:val="18"/>
                <w:szCs w:val="18"/>
              </w:rPr>
              <w:t xml:space="preserve">CREATE TABLE</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New table: duct_systems (project-level duct configuration)</w:t>
            </w:r>
          </w:p>
        </w:tc>
        <w:tc>
          <w:tcPr>
            <w:tcW w:type="dxa" w:w="15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4D5656"/>
                <w:sz w:val="18"/>
                <w:szCs w:val="18"/>
              </w:rPr>
              <w:t xml:space="preserve">3</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iCs/>
                <w:color w:val="4D5656"/>
                <w:sz w:val="18"/>
                <w:szCs w:val="18"/>
              </w:rPr>
              <w:t xml:space="preserve">CREATE TABLE</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mvhr_units: add supplier_id FK, list_price_aud, stocked_in_au</w:t>
            </w:r>
          </w:p>
        </w:tc>
        <w:tc>
          <w:tcPr>
            <w:tcW w:type="dxa" w:w="15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4D5656"/>
                <w:sz w:val="18"/>
                <w:szCs w:val="18"/>
              </w:rPr>
              <w:t xml:space="preserve">4</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iCs/>
                <w:color w:val="4D5656"/>
                <w:sz w:val="18"/>
                <w:szCs w:val="18"/>
              </w:rPr>
              <w:t xml:space="preserve">ALTER TABLE</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credit_packages: add plan_tier (free/designer/studio/professional/enterprise)</w:t>
            </w:r>
          </w:p>
        </w:tc>
        <w:tc>
          <w:tcPr>
            <w:tcW w:type="dxa" w:w="15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4D5656"/>
                <w:sz w:val="18"/>
                <w:szCs w:val="18"/>
              </w:rPr>
              <w:t xml:space="preserve">6</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iCs/>
                <w:color w:val="4D5656"/>
                <w:sz w:val="18"/>
                <w:szCs w:val="18"/>
              </w:rPr>
              <w:t xml:space="preserve">ALTER TABLE</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000000"/>
                <w:sz w:val="18"/>
                <w:szCs w:val="18"/>
              </w:rPr>
              <w:t xml:space="preserve">profiles: add plan_tier, subscription_id (Stripe)</w:t>
            </w:r>
          </w:p>
        </w:tc>
        <w:tc>
          <w:tcPr>
            <w:tcW w:type="dxa" w:w="15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4D5656"/>
                <w:sz w:val="18"/>
                <w:szCs w:val="18"/>
              </w:rPr>
              <w:t xml:space="preserve">6</w:t>
            </w:r>
          </w:p>
        </w:tc>
        <w:tc>
          <w:tcPr>
            <w:tcW w:type="dxa" w:w="3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iCs/>
                <w:color w:val="4D5656"/>
                <w:sz w:val="18"/>
                <w:szCs w:val="18"/>
              </w:rPr>
              <w:t xml:space="preserve">ALTER TABLE</w:t>
            </w:r>
          </w:p>
        </w:tc>
      </w:tr>
    </w:tbl>
    <w:p>
      <w:pPr>
        <w:spacing w:after="100" w:before="0"/>
      </w:pPr>
      <w:r>
        <w:t xml:space="preserve"/>
      </w:r>
    </w:p>
    <w:p>
      <w:r>
        <w:br w:type="page"/>
      </w:r>
    </w:p>
    <w:p>
      <w:pPr>
        <w:pStyle w:val="Heading1"/>
        <w:pBdr>
          <w:bottom w:val="single" w:color="1B4F72" w:sz="6" w:space="4"/>
        </w:pBdr>
        <w:spacing w:after="140" w:before="400"/>
      </w:pPr>
      <w:r>
        <w:rPr>
          <w:rFonts w:ascii="Arial" w:cs="Arial" w:eastAsia="Arial" w:hAnsi="Arial"/>
          <w:b/>
          <w:bCs/>
          <w:color w:val="1B4F72"/>
          <w:sz w:val="34"/>
          <w:szCs w:val="34"/>
        </w:rPr>
        <w:t xml:space="preserve">10. Decisions Required Before Development Begins</w:t>
      </w:r>
    </w:p>
    <w:p>
      <w:pPr>
        <w:spacing w:after="80" w:before="0"/>
      </w:pPr>
      <w:r>
        <w:rPr>
          <w:rFonts w:ascii="Arial" w:cs="Arial" w:eastAsia="Arial" w:hAnsi="Arial"/>
          <w:sz w:val="20"/>
          <w:szCs w:val="20"/>
        </w:rPr>
        <w:t xml:space="preserve">The following decisions must be confirmed before a single line of Phase 1 code is written. They affect architecture, cost, and commercial model.</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Decision</w:t>
            </w:r>
          </w:p>
        </w:tc>
        <w:tc>
          <w:tcPr>
            <w:tcW w:type="dxa" w:w="350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Options</w:t>
            </w:r>
          </w:p>
        </w:tc>
        <w:tc>
          <w:tcPr>
            <w:tcW w:type="dxa" w:w="3660"/>
            <w:tcBorders>
              <w:top w:val="single" w:color="1B4F72" w:sz="1"/>
              <w:left w:val="single" w:color="1B4F72" w:sz="1"/>
              <w:bottom w:val="single" w:color="1B4F72" w:sz="1"/>
              <w:right w:val="single" w:color="1B4F72" w:sz="1"/>
            </w:tcBorders>
            <w:shd w:fill="1B4F72"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Recommendation</w:t>
            </w:r>
          </w:p>
        </w:tc>
      </w:tr>
      <w:tr>
        <w:tc>
          <w:tcPr>
            <w:tcW w:type="dxa" w:w="22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AI provider for plan analysis</w:t>
            </w:r>
          </w:p>
        </w:tc>
        <w:tc>
          <w:tcPr>
            <w:tcW w:type="dxa" w:w="3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iCs/>
                <w:color w:val="4D5656"/>
                <w:sz w:val="18"/>
                <w:szCs w:val="18"/>
              </w:rPr>
              <w:t xml:space="preserve">Anthropic Claude / OpenAI GPT-4o / Google Gemini / fine-tuned open model</w:t>
            </w:r>
          </w:p>
        </w:tc>
        <w:tc>
          <w:tcPr>
            <w:tcW w:type="dxa" w:w="3660"/>
            <w:tcBorders>
              <w:top w:val="single" w:color="CCCCCC" w:sz="1"/>
              <w:left w:val="single" w:color="CCCCCC" w:sz="1"/>
              <w:bottom w:val="single" w:color="CCCCCC" w:sz="1"/>
              <w:right w:val="single" w:color="CCCCCC" w:sz="1"/>
            </w:tcBorders>
            <w:shd w:fill="D6EAF8"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1B4F72"/>
                <w:sz w:val="18"/>
                <w:szCs w:val="18"/>
              </w:rPr>
              <w:t xml:space="preserve">Start with Claude 3.5 Sonnet (best JSON fidelity). A/B test GPT-4o if accuracy is insufficient on complex plans.</w:t>
            </w:r>
          </w:p>
        </w:tc>
      </w:tr>
      <w:tr>
        <w:tc>
          <w:tcPr>
            <w:tcW w:type="dxa" w:w="22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Credit cost for AI plan analysis</w:t>
            </w:r>
          </w:p>
        </w:tc>
        <w:tc>
          <w:tcPr>
            <w:tcW w:type="dxa" w:w="3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iCs/>
                <w:color w:val="4D5656"/>
                <w:sz w:val="18"/>
                <w:szCs w:val="18"/>
              </w:rPr>
              <w:t xml:space="preserve">1 credit / 3 credits / 5 credits / subscription-only</w:t>
            </w:r>
          </w:p>
        </w:tc>
        <w:tc>
          <w:tcPr>
            <w:tcW w:type="dxa" w:w="3660"/>
            <w:tcBorders>
              <w:top w:val="single" w:color="CCCCCC" w:sz="1"/>
              <w:left w:val="single" w:color="CCCCCC" w:sz="1"/>
              <w:bottom w:val="single" w:color="CCCCCC" w:sz="1"/>
              <w:right w:val="single" w:color="CCCCCC" w:sz="1"/>
            </w:tcBorders>
            <w:shd w:fill="D6EAF8"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1B4F72"/>
                <w:sz w:val="18"/>
                <w:szCs w:val="18"/>
              </w:rPr>
              <w:t xml:space="preserve">3 credits per storey ($10.47 at single-design rate). Covers API cost with margin. Low enough not to deter adoption.</w:t>
            </w:r>
          </w:p>
        </w:tc>
      </w:tr>
      <w:tr>
        <w:tc>
          <w:tcPr>
            <w:tcW w:type="dxa" w:w="22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Subscription billing model</w:t>
            </w:r>
          </w:p>
        </w:tc>
        <w:tc>
          <w:tcPr>
            <w:tcW w:type="dxa" w:w="3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iCs/>
                <w:color w:val="4D5656"/>
                <w:sz w:val="18"/>
                <w:szCs w:val="18"/>
              </w:rPr>
              <w:t xml:space="preserve">Credits only / Credits + subscription / Subscription only</w:t>
            </w:r>
          </w:p>
        </w:tc>
        <w:tc>
          <w:tcPr>
            <w:tcW w:type="dxa" w:w="3660"/>
            <w:tcBorders>
              <w:top w:val="single" w:color="CCCCCC" w:sz="1"/>
              <w:left w:val="single" w:color="CCCCCC" w:sz="1"/>
              <w:bottom w:val="single" w:color="CCCCCC" w:sz="1"/>
              <w:right w:val="single" w:color="CCCCCC" w:sz="1"/>
            </w:tcBorders>
            <w:shd w:fill="D6EAF8"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1B4F72"/>
                <w:sz w:val="18"/>
                <w:szCs w:val="18"/>
              </w:rPr>
              <w:t xml:space="preserve">Move to hybrid: subscriptions include a monthly credit bundle; ad-hoc credits still purchasable. Implement in Phase 6 using Stripe Billing.</w:t>
            </w:r>
          </w:p>
        </w:tc>
      </w:tr>
      <w:tr>
        <w:tc>
          <w:tcPr>
            <w:tcW w:type="dxa" w:w="22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Duct system priority</w:t>
            </w:r>
          </w:p>
        </w:tc>
        <w:tc>
          <w:tcPr>
            <w:tcW w:type="dxa" w:w="3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iCs/>
                <w:color w:val="4D5656"/>
                <w:sz w:val="18"/>
                <w:szCs w:val="18"/>
              </w:rPr>
              <w:t xml:space="preserve">Radial first / Trunk &amp; branch first / Both simultaneously</w:t>
            </w:r>
          </w:p>
        </w:tc>
        <w:tc>
          <w:tcPr>
            <w:tcW w:type="dxa" w:w="3660"/>
            <w:tcBorders>
              <w:top w:val="single" w:color="CCCCCC" w:sz="1"/>
              <w:left w:val="single" w:color="CCCCCC" w:sz="1"/>
              <w:bottom w:val="single" w:color="CCCCCC" w:sz="1"/>
              <w:right w:val="single" w:color="CCCCCC" w:sz="1"/>
            </w:tcBorders>
            <w:shd w:fill="D6EAF8"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1B4F72"/>
                <w:sz w:val="18"/>
                <w:szCs w:val="18"/>
              </w:rPr>
              <w:t xml:space="preserve">Radial first — it is the existing model and the most common AU residential system. Add trunk &amp; branch in Phase 3b.</w:t>
            </w:r>
          </w:p>
        </w:tc>
      </w:tr>
      <w:tr>
        <w:tc>
          <w:tcPr>
            <w:tcW w:type="dxa" w:w="22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Supplier import access</w:t>
            </w:r>
          </w:p>
        </w:tc>
        <w:tc>
          <w:tcPr>
            <w:tcW w:type="dxa" w:w="3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iCs/>
                <w:color w:val="4D5656"/>
                <w:sz w:val="18"/>
                <w:szCs w:val="18"/>
              </w:rPr>
              <w:t xml:space="preserve">Platform admin only / Company admin / All users (paid)</w:t>
            </w:r>
          </w:p>
        </w:tc>
        <w:tc>
          <w:tcPr>
            <w:tcW w:type="dxa" w:w="3660"/>
            <w:tcBorders>
              <w:top w:val="single" w:color="CCCCCC" w:sz="1"/>
              <w:left w:val="single" w:color="CCCCCC" w:sz="1"/>
              <w:bottom w:val="single" w:color="CCCCCC" w:sz="1"/>
              <w:right w:val="single" w:color="CCCCCC" w:sz="1"/>
            </w:tcBorders>
            <w:shd w:fill="D6EAF8"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1B4F72"/>
                <w:sz w:val="18"/>
                <w:szCs w:val="18"/>
              </w:rPr>
              <w:t xml:space="preserve">Company admin for own suppliers; platform admin for global unit DB. Charge per-import in credits.</w:t>
            </w:r>
          </w:p>
        </w:tc>
      </w:tr>
      <w:tr>
        <w:tc>
          <w:tcPr>
            <w:tcW w:type="dxa" w:w="2200"/>
            <w:tcBorders>
              <w:top w:val="single" w:color="CCCCCC" w:sz="1"/>
              <w:left w:val="single" w:color="CCCCCC" w:sz="1"/>
              <w:bottom w:val="single" w:color="CCCCCC" w:sz="1"/>
              <w:right w:val="single" w:color="CCCCCC" w:sz="1"/>
            </w:tcBorders>
            <w:shd w:fill="EAECEE" w:val="clear"/>
            <w:tcMar>
              <w:top w:type="dxa" w:w="70"/>
              <w:left w:type="dxa" w:w="110"/>
              <w:bottom w:type="dxa" w:w="70"/>
              <w:right w:type="dxa" w:w="110"/>
            </w:tcMar>
            <w:vAlign w:val="top"/>
          </w:tcPr>
          <w:p>
            <w:pPr>
              <w:spacing w:after="0" w:before="0"/>
            </w:pPr>
            <w:r>
              <w:rPr>
                <w:rFonts w:ascii="Arial" w:cs="Arial" w:eastAsia="Arial" w:hAnsi="Arial"/>
                <w:b/>
                <w:bCs/>
                <w:i w:val="false"/>
                <w:iCs w:val="false"/>
                <w:color w:val="000000"/>
                <w:sz w:val="18"/>
                <w:szCs w:val="18"/>
              </w:rPr>
              <w:t xml:space="preserve">Monolith migration pace</w:t>
            </w:r>
          </w:p>
        </w:tc>
        <w:tc>
          <w:tcPr>
            <w:tcW w:type="dxa" w:w="3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top"/>
          </w:tcPr>
          <w:p>
            <w:pPr>
              <w:spacing w:after="0" w:before="0"/>
            </w:pPr>
            <w:r>
              <w:rPr>
                <w:rFonts w:ascii="Arial" w:cs="Arial" w:eastAsia="Arial" w:hAnsi="Arial"/>
                <w:b w:val="false"/>
                <w:bCs w:val="false"/>
                <w:i/>
                <w:iCs/>
                <w:color w:val="4D5656"/>
                <w:sz w:val="18"/>
                <w:szCs w:val="18"/>
              </w:rPr>
              <w:t xml:space="preserve">Big-bang rewrite / Incremental extraction / Leave as-is</w:t>
            </w:r>
          </w:p>
        </w:tc>
        <w:tc>
          <w:tcPr>
            <w:tcW w:type="dxa" w:w="3660"/>
            <w:tcBorders>
              <w:top w:val="single" w:color="CCCCCC" w:sz="1"/>
              <w:left w:val="single" w:color="CCCCCC" w:sz="1"/>
              <w:bottom w:val="single" w:color="CCCCCC" w:sz="1"/>
              <w:right w:val="single" w:color="CCCCCC" w:sz="1"/>
            </w:tcBorders>
            <w:shd w:fill="D6EAF8" w:val="clear"/>
            <w:tcMar>
              <w:top w:type="dxa" w:w="70"/>
              <w:left w:type="dxa" w:w="110"/>
              <w:bottom w:type="dxa" w:w="70"/>
              <w:right w:type="dxa" w:w="110"/>
            </w:tcMar>
            <w:vAlign w:val="top"/>
          </w:tcPr>
          <w:p>
            <w:pPr>
              <w:spacing w:after="0" w:before="0"/>
            </w:pPr>
            <w:r>
              <w:rPr>
                <w:rFonts w:ascii="Arial" w:cs="Arial" w:eastAsia="Arial" w:hAnsi="Arial"/>
                <w:b w:val="false"/>
                <w:bCs w:val="false"/>
                <w:i w:val="false"/>
                <w:iCs w:val="false"/>
                <w:color w:val="1B4F72"/>
                <w:sz w:val="18"/>
                <w:szCs w:val="18"/>
              </w:rPr>
              <w:t xml:space="preserve">Incremental — extract one module per sprint alongside feature work. Big-bang rewrite is too risky with live users.</w:t>
            </w:r>
          </w:p>
        </w:tc>
      </w:tr>
    </w:tbl>
    <w:p>
      <w:pPr>
        <w:spacing w:after="200" w:before="0"/>
      </w:pPr>
      <w:r>
        <w:t xml:space="preserve"/>
      </w:r>
    </w:p>
    <w:p>
      <w:pPr>
        <w:pStyle w:val="Heading2"/>
        <w:spacing w:after="80" w:before="300"/>
      </w:pPr>
      <w:r>
        <w:rPr>
          <w:rFonts w:ascii="Arial" w:cs="Arial" w:eastAsia="Arial" w:hAnsi="Arial"/>
          <w:b/>
          <w:bCs/>
          <w:color w:val="1B4F72"/>
          <w:sz w:val="26"/>
          <w:szCs w:val="26"/>
        </w:rPr>
        <w:t xml:space="preserve">10.1 Recommended First Sprint (2 weeks)</w:t>
      </w:r>
    </w:p>
    <w:p>
      <w:pPr>
        <w:pStyle w:val="ListParagraph"/>
        <w:numPr>
          <w:ilvl w:val="0"/>
          <w:numId w:val="2"/>
        </w:numPr>
        <w:spacing w:after="50" w:before="0"/>
      </w:pPr>
      <w:r>
        <w:rPr>
          <w:rFonts w:ascii="Arial" w:cs="Arial" w:eastAsia="Arial" w:hAnsi="Arial"/>
          <w:color w:val="000000"/>
          <w:sz w:val="20"/>
          <w:szCs w:val="20"/>
        </w:rPr>
        <w:t xml:space="preserve">Day 1–2: Set up Anthropic API key in Vercel environment. Write the plan analysis prompt. Test against 5 real floor plans manually.</w:t>
      </w:r>
    </w:p>
    <w:p>
      <w:pPr>
        <w:pStyle w:val="ListParagraph"/>
        <w:numPr>
          <w:ilvl w:val="0"/>
          <w:numId w:val="2"/>
        </w:numPr>
        <w:spacing w:after="50" w:before="0"/>
      </w:pPr>
      <w:r>
        <w:rPr>
          <w:rFonts w:ascii="Arial" w:cs="Arial" w:eastAsia="Arial" w:hAnsi="Arial"/>
          <w:color w:val="000000"/>
          <w:sz w:val="20"/>
          <w:szCs w:val="20"/>
        </w:rPr>
        <w:t xml:space="preserve">Day 3–4: Build POST /api/ai/analyse-plan serverless function. Handle PDF→PNG conversion. Parse and validate JSON response.</w:t>
      </w:r>
    </w:p>
    <w:p>
      <w:pPr>
        <w:pStyle w:val="ListParagraph"/>
        <w:numPr>
          <w:ilvl w:val="0"/>
          <w:numId w:val="2"/>
        </w:numPr>
        <w:spacing w:after="50" w:before="0"/>
      </w:pPr>
      <w:r>
        <w:rPr>
          <w:rFonts w:ascii="Arial" w:cs="Arial" w:eastAsia="Arial" w:hAnsi="Arial"/>
          <w:color w:val="000000"/>
          <w:sz w:val="20"/>
          <w:szCs w:val="20"/>
        </w:rPr>
        <w:t xml:space="preserve">Day 5–7: Add credit gate (3 credits, ai_plan_analysis operation). Store result in projects.ai_analysis_json. Return structured room list to client.</w:t>
      </w:r>
    </w:p>
    <w:p>
      <w:pPr>
        <w:pStyle w:val="ListParagraph"/>
        <w:numPr>
          <w:ilvl w:val="0"/>
          <w:numId w:val="2"/>
        </w:numPr>
        <w:spacing w:after="50" w:before="0"/>
      </w:pPr>
      <w:r>
        <w:rPr>
          <w:rFonts w:ascii="Arial" w:cs="Arial" w:eastAsia="Arial" w:hAnsi="Arial"/>
          <w:color w:val="000000"/>
          <w:sz w:val="20"/>
          <w:szCs w:val="20"/>
        </w:rPr>
        <w:t xml:space="preserve">Day 8–10: Build the room schedule auto-population UI. Show confidence indicators. Allow user to edit before confirming.</w:t>
      </w:r>
    </w:p>
    <w:p>
      <w:pPr>
        <w:pStyle w:val="ListParagraph"/>
        <w:numPr>
          <w:ilvl w:val="0"/>
          <w:numId w:val="2"/>
        </w:numPr>
        <w:spacing w:after="50" w:before="0"/>
      </w:pPr>
      <w:r>
        <w:rPr>
          <w:rFonts w:ascii="Arial" w:cs="Arial" w:eastAsia="Arial" w:hAnsi="Arial"/>
          <w:color w:val="000000"/>
          <w:sz w:val="20"/>
          <w:szCs w:val="20"/>
        </w:rPr>
        <w:t xml:space="preserve">Day 11–12: Add plan_analysis_log for cost monitoring. Add ai_plan_analysis_storey (1 credit) for subsequent storeys.</w:t>
      </w:r>
    </w:p>
    <w:p>
      <w:pPr>
        <w:pStyle w:val="ListParagraph"/>
        <w:numPr>
          <w:ilvl w:val="0"/>
          <w:numId w:val="2"/>
        </w:numPr>
        <w:spacing w:after="50" w:before="0"/>
      </w:pPr>
      <w:r>
        <w:rPr>
          <w:rFonts w:ascii="Arial" w:cs="Arial" w:eastAsia="Arial" w:hAnsi="Arial"/>
          <w:color w:val="000000"/>
          <w:sz w:val="20"/>
          <w:szCs w:val="20"/>
        </w:rPr>
        <w:t xml:space="preserve">Day 13–14: QA on 20+ real plans. Tune the prompt. Ship to production behind a "Beta" label.</w:t>
      </w:r>
    </w:p>
    <w:p>
      <w:pPr>
        <w:spacing w:after="200" w:before="0"/>
      </w:pPr>
      <w:r>
        <w:t xml:space="preserve"/>
      </w:r>
    </w:p>
    <w:p>
      <w:pPr>
        <w:spacing w:after="80" w:before="0"/>
      </w:pPr>
      <w:r>
        <w:rPr>
          <w:rFonts w:ascii="Arial" w:cs="Arial" w:eastAsia="Arial" w:hAnsi="Arial"/>
          <w:i/>
          <w:iCs/>
          <w:color w:val="4D5656"/>
          <w:sz w:val="20"/>
          <w:szCs w:val="20"/>
        </w:rPr>
        <w:t xml:space="preserve">This plan is a living document. Priorities should be reassessed after Phase 1 ships based on user adoption data and credit usage patterns.</w:t>
      </w:r>
    </w:p>
    <w:p>
      <w:pPr>
        <w:spacing w:after="10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AECEE" w:sz="2" w:space="4"/>
      </w:pBdr>
      <w:tabs>
        <w:tab w:val="right" w:pos="9360"/>
      </w:tabs>
    </w:pPr>
    <w:r>
      <w:rPr>
        <w:rFonts w:ascii="Arial" w:cs="Arial" w:eastAsia="Arial" w:hAnsi="Arial"/>
        <w:color w:val="4D5656"/>
        <w:sz w:val="16"/>
        <w:szCs w:val="16"/>
      </w:rPr>
      <w:t xml:space="preserve">HiPer Studio by Adelaide GeoExchange</w:t>
    </w:r>
    <w:r>
      <w:rPr>
        <w:rFonts w:ascii="Arial" w:cs="Arial" w:eastAsia="Arial" w:hAnsi="Arial"/>
        <w:sz w:val="16"/>
        <w:szCs w:val="16"/>
      </w:rPr>
      <w:t xml:space="preserve">	</w:t>
    </w:r>
    <w:r>
      <w:rPr>
        <w:rFonts w:ascii="Arial" w:cs="Arial" w:eastAsia="Arial" w:hAnsi="Arial"/>
        <w:color w:val="4D5656"/>
        <w:sz w:val="16"/>
        <w:szCs w:val="16"/>
      </w:rPr>
      <w:t xml:space="preserve">Page </w:t>
    </w:r>
    <w:r>
      <w:rPr>
        <w:rFonts w:ascii="Arial" w:cs="Arial" w:eastAsia="Arial" w:hAnsi="Arial"/>
        <w:color w:val="4D565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AECEE" w:sz="2" w:space="4"/>
      </w:pBdr>
      <w:tabs>
        <w:tab w:val="right" w:pos="9360"/>
      </w:tabs>
    </w:pPr>
    <w:r>
      <w:rPr>
        <w:rFonts w:ascii="Arial" w:cs="Arial" w:eastAsia="Arial" w:hAnsi="Arial"/>
        <w:color w:val="4D5656"/>
        <w:sz w:val="16"/>
        <w:szCs w:val="16"/>
      </w:rPr>
      <w:t xml:space="preserve">HiPer Studio — Strategic &amp; Technical Development Plan</w:t>
    </w:r>
    <w:r>
      <w:rPr>
        <w:rFonts w:ascii="Arial" w:cs="Arial" w:eastAsia="Arial" w:hAnsi="Arial"/>
        <w:sz w:val="16"/>
        <w:szCs w:val="16"/>
      </w:rPr>
      <w:t xml:space="preserve">	</w:t>
    </w:r>
    <w:r>
      <w:rPr>
        <w:rFonts w:ascii="Arial" w:cs="Arial" w:eastAsia="Arial" w:hAnsi="Arial"/>
        <w:b/>
        <w:bCs/>
        <w:color w:val="D35400"/>
        <w:sz w:val="16"/>
        <w:szCs w:val="16"/>
      </w:rPr>
      <w:t xml:space="preserve">CONFIDENTIAL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sz w:val="34"/>
      <w:szCs w:val="34"/>
    </w:rPr>
  </w:style>
  <w:style w:type="paragraph" w:styleId="Heading2">
    <w:name w:val="Heading 2"/>
    <w:basedOn w:val="Normal"/>
    <w:next w:val="Normal"/>
    <w:qFormat/>
    <w:pPr>
      <w:spacing w:after="80" w:before="300"/>
      <w:outlineLvl w:val="1"/>
    </w:pPr>
    <w:rPr>
      <w:rFonts w:ascii="Arial" w:cs="Arial" w:eastAsia="Arial" w:hAnsi="Arial"/>
      <w:b/>
      <w:bCs/>
      <w:sz w:val="26"/>
      <w:szCs w:val="26"/>
    </w:rPr>
  </w:style>
  <w:style w:type="paragraph" w:styleId="Heading3">
    <w:name w:val="Heading 3"/>
    <w:basedOn w:val="Normal"/>
    <w:next w:val="Normal"/>
    <w:qFormat/>
    <w:pPr>
      <w:spacing w:after="6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2026-06-01T09:02:58.708Z</dcterms:created>
  <dcterms:modified xsi:type="dcterms:W3CDTF">2026-06-01T09:02:58.710Z</dcterms:modified>
</cp:coreProperties>
</file>

<file path=docProps/custom.xml><?xml version="1.0" encoding="utf-8"?>
<Properties xmlns="http://schemas.openxmlformats.org/officeDocument/2006/custom-properties" xmlns:vt="http://schemas.openxmlformats.org/officeDocument/2006/docPropsVTypes"/>
</file>