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8"/>
        </w:rPr>
        <w:t>DISPONIBILITÀ DEI SISTEMI (2023-2024)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666666"/>
          <w:sz w:val="32"/>
        </w:rPr>
        <w:t>REPORT ANALITICO AZIENDALE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color w:val="666666"/>
          <w:sz w:val="24"/>
        </w:rPr>
        <w:t>Report ID: RPT-20251119_132203</w:t>
        <w:br/>
        <w:t>Data di Generazione: 19 November 2025</w:t>
        <w:br/>
        <w:t>Classificazione: Interno - Riservato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003366"/>
          <w:sz w:val="36"/>
        </w:rPr>
        <w:t>INDICE</w:t>
      </w:r>
    </w:p>
    <w:p/>
    <w:p>
      <w:r>
        <w:rPr>
          <w:rFonts w:ascii="Calibri" w:hAnsi="Calibri"/>
          <w:sz w:val="24"/>
        </w:rPr>
        <w:t>1. Sezione 1 – Sintesi esecutiva</w:t>
      </w:r>
      <w:r>
        <w:rPr>
          <w:rFonts w:ascii="Calibri" w:hAnsi="Calibri"/>
          <w:sz w:val="24"/>
        </w:rPr>
        <w:t xml:space="preserve"> ............................ 1</w:t>
      </w:r>
    </w:p>
    <w:p>
      <w:r>
        <w:rPr>
          <w:rFonts w:ascii="Calibri" w:hAnsi="Calibri"/>
          <w:sz w:val="24"/>
        </w:rPr>
        <w:t>2. Sezione 2 – Metriche di disponibilità aggregate</w:t>
      </w:r>
      <w:r>
        <w:rPr>
          <w:rFonts w:ascii="Calibri" w:hAnsi="Calibri"/>
          <w:sz w:val="24"/>
        </w:rPr>
        <w:t xml:space="preserve"> .......... 3</w:t>
      </w:r>
    </w:p>
    <w:p>
      <w:r>
        <w:rPr>
          <w:rFonts w:ascii="Calibri" w:hAnsi="Calibri"/>
          <w:sz w:val="24"/>
        </w:rPr>
        <w:t>3. Sezione 3 – MTTR e analisi degli incidenti</w:t>
      </w:r>
      <w:r>
        <w:rPr>
          <w:rFonts w:ascii="Calibri" w:hAnsi="Calibri"/>
          <w:sz w:val="24"/>
        </w:rPr>
        <w:t xml:space="preserve"> ............... 5</w:t>
      </w:r>
    </w:p>
    <w:p>
      <w:r>
        <w:rPr>
          <w:rFonts w:ascii="Calibri" w:hAnsi="Calibri"/>
          <w:sz w:val="24"/>
        </w:rPr>
        <w:t>4. Sezione 4 – MTBF e ricorrenza guasti</w:t>
      </w:r>
      <w:r>
        <w:rPr>
          <w:rFonts w:ascii="Calibri" w:hAnsi="Calibri"/>
          <w:sz w:val="24"/>
        </w:rPr>
        <w:t xml:space="preserve"> ..................... 7</w:t>
      </w:r>
    </w:p>
    <w:p>
      <w:r>
        <w:rPr>
          <w:rFonts w:ascii="Calibri" w:hAnsi="Calibri"/>
          <w:sz w:val="24"/>
        </w:rPr>
        <w:t>5. Sezione 5 – Dettaglio record e audit</w:t>
      </w:r>
      <w:r>
        <w:rPr>
          <w:rFonts w:ascii="Calibri" w:hAnsi="Calibri"/>
          <w:sz w:val="24"/>
        </w:rPr>
        <w:t xml:space="preserve"> ..................... 9</w:t>
      </w:r>
    </w:p>
    <w:p>
      <w:r>
        <w:rPr>
          <w:rFonts w:ascii="Calibri" w:hAnsi="Calibri"/>
          <w:sz w:val="24"/>
        </w:rPr>
        <w:t>6. Sezione 6 – Sintesi finale e raccomandazioni</w:t>
      </w:r>
      <w:r>
        <w:rPr>
          <w:rFonts w:ascii="Calibri" w:hAnsi="Calibri"/>
          <w:sz w:val="24"/>
        </w:rPr>
        <w:t xml:space="preserve"> ............. 11</w:t>
      </w:r>
    </w:p>
    <w:p>
      <w:r>
        <w:br w:type="page"/>
      </w:r>
    </w:p>
    <w:p>
      <w:pPr>
        <w:spacing w:before="360" w:after="240"/>
      </w:pPr>
      <w:r>
        <w:rPr>
          <w:rFonts w:ascii="Calibri" w:hAnsi="Calibri"/>
          <w:b/>
          <w:color w:val="003366"/>
          <w:sz w:val="32"/>
        </w:rPr>
        <w:t>SEZIONE 1 – SINTESI ESECUTIVA</w:t>
      </w:r>
    </w:p>
    <w:p>
      <w:pPr>
        <w:spacing w:after="240"/>
      </w:pPr>
      <w:r>
        <w:rPr>
          <w:color w:val="003366"/>
        </w:rPr>
        <w:t>________________________________________________________________________________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Breve panoramica degli indicatori chiave di disponibilità per il periodo 2023-2024: percentuale di uptime vs downtime a livello servizio/asset, tempo medio di ripristino (MTTR) e tempo medio tra guasti (MTBF). Obiettivo: evidenziare trend, aree critiche e confronto con obiettivi RTO/SLA.</w:t>
      </w:r>
    </w:p>
    <w:p/>
    <w:p/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Subsection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[Content generation failed: 'NoneType' object has no attribute 'get']</w:t>
      </w:r>
    </w:p>
    <w:p/>
    <w:p/>
    <w:p>
      <w:r>
        <w:br w:type="page"/>
      </w:r>
    </w:p>
    <w:p>
      <w:pPr>
        <w:spacing w:before="360" w:after="240"/>
      </w:pPr>
      <w:r>
        <w:rPr>
          <w:rFonts w:ascii="Calibri" w:hAnsi="Calibri"/>
          <w:b/>
          <w:color w:val="003366"/>
          <w:sz w:val="32"/>
        </w:rPr>
        <w:t>SEZIONE 2 – METRICHE DI DISPONIBILITÀ AGGREGATE</w:t>
      </w:r>
    </w:p>
    <w:p>
      <w:pPr>
        <w:spacing w:after="240"/>
      </w:pPr>
      <w:r>
        <w:rPr>
          <w:color w:val="003366"/>
        </w:rPr>
        <w:t>________________________________________________________________________________</w:t>
      </w:r>
    </w:p>
    <w:p/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2.1 Kpi Aggregati Per Anno (Mtbf, Risposta Media)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Sezione 2.1 — KPI aggregati per anno: MTBF (AvgTimebtwFailure) e tempo di risposta medio (AvgresponseTimesec)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Sintesi dei dati e contesto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L’analisi copre la tabella T17AssetNodeDetail e riguarda 901 record relativi all’anno 2024 (colonna Anno = 2024.0). I dati sono consolidati a livello di asset/host (Computername) e di cluster/ambiente operativo (cd_Comp / CompName).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I KPI principali analizzati sono AvgTimebtwFailure (MTBF aggregato per asset) e AvgresponseTimesec (tempo di risposta medio in secondi).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Indicatori aggregati principali (anno 2024)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MTBF medio (AvgTimebtw_Failure): media = 0,975239 (valore medio calcolato su 901 record); minimo = 0,95; massimo = 1,00; somma aggregata = 878,69. La distribuzione mostra una variazione molto contenuta (range = 0,05, circa 5,1% rispetto alla media), suggerendo una misura MTBF omogenea tra gli asset registrati.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Tempo di risposta medio (AvgresponseTime_sec): media = 3,034184 secondi (901 record); minimo = -2,3 s; massimo = 8,3 s; somma aggregata = 2.733,8 s. La presenza di valori estremi e di un valore minimo negativo evidenzia problemi di qualità dati o di misurazione da approfondire.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Distribuzione per classi operative (cd_Comp / CompName)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La popolazione degli asset è concentrata: il 57,05% dei record (514 su 901) appartiene a cdcomp028 (cluster 4 - Server Farm Linux). Seguono cdcomp024 con 139 record (15,43%), cdcomp026 con 91 record (10,10%), cdcomp025 con 84 record (9,32%) e cdcomp027 con 57 record (6,33%).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Implicazione operativa: oltre il 57% del campione proviene da un unico cluster; interventi mirati su cdcomp028 possono produrre il maggiore impatto complessivo sui KPI.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Rilevazioni di qualità dei dati e anomalie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Valori negativi per AvgresponseTime_sec (min = -2,3 s) e la presenza di valori massimi fino a 8,3 s indicano outlier e possibili errori di registrazione o di normalizzazione delle metriche. La variabilità del tempo di risposta (range = 10,6 s) è significativa rispetto alla media di ~3,03 s e richiede verifica.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MTBF presenta una gamma molto ristretta (0,95–1,00) che può riflettere: a) una metrica normalizzata o scalata in modo uniforme, b) aggregazione di indicatori non totalmente disaggregati per asset. È opportuno verificare l’unità di misura e la logica di calcolo impiegata.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Insight operativi e priorità di intervento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Monitoraggio e governance: stabilire regole di validazione in ingestione per il tempo di risposta (es. non accettare valori negativi; soglie plausibili per ambiente) per eliminare distorsioni nelle analisi aggregate.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Focus su cluster ad alta concentrazione: intervenire su cdcomp028 (57,05% del campione) per ottimizzare MTBF e tempo di risposta, dato l’elevato impatto statistico.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Indagine su outlier: eseguire analisi delle cause radice sugli asset con AvgresponseTime_sec &gt; 6 s e su quelli con valori negativi per correggere errori di monitoring o latenze transitorie.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Validazione delle metriche: verificare definizione e unità di AvgTimebtw_Failure (ad esempio giorni, cicli, percentuale normalizzata) e uniformare la metodologia di calcolo per garantire confronti interannuali affidabili.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Raccomandazioni concrete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Implementare controlli di qualità dati a livello ETL: rigetto o quarantena dei valori di tempo di risposta &lt; 0 e segnalazione automatica di outlier &gt; 3 deviazioni standard dalla media per revisione operativa.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2. Segmentare report KPI per cdComp e Computername, con KPI presentati in una tabella per anno (Anno = 2024) per evidenziare deviazioni locali rispetto alla media aziendale.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3. Avviare un’indagine tecnica sui 1–2% di asset con tempo di risposta significativamente maggiore della media (ricerca e riallocazione di risorse, patching, tuning I/O).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4. Standardizzare la definizione di MTBF e inserire il relativo metadato nella fonte per evitare interpretazioni divergenti (attualmente media = 0,975; la portata ridotta della variabilità richiede conferma della scala).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Conclusione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L’analisi mostra una media MTBF molto omogenea (0,975) su 901 asset per il 2024 e un tempo di risposta medio di 3,03 secondi, ma evidenzia criticità di qualità dati (valori negativi e outlier) e una forte concentrazione della popolazione su cdcomp028 (57,05%). Priorità immediate: correzione dei problemi di quality control, verifica delle definizioni metriche e interventi mirati sul cluster ad alto impatto per migliorare l’affidabilità e l’esperienza applicativa.</w:t>
      </w:r>
    </w:p>
    <w:p/>
    <w:p/>
    <w:p/>
    <w:p/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2.2 Obiettivi Rto Per Nodo (Contesto Sla)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Sezione 2.2 — Obiettivi RTO per nodo (contesto SLA)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Sintesi dei dati e scopo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Il dataset analizzato include 10 nodi (T16AssetNode) e fornisce il valore RTOh per ciascun nodo. L’analisi mira a definire obiettivi RTO operativi coerenti con il contesto SLA, basati sui valori attuali e sulla classificazione dei componenti. Il valore medio di RTO osservato è 3,1 ore, con minimo 1 ora e massimo 6 ore.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Distribuzione complessiva degli RTO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distribuzione degli RTO evidenzia una concentrazione sui valori intermedi: 40,0% dei nodi (4 su 10) ha RTO pari a 3 ore, 30,0% (3 su 10) ha RTO pari a 2 ore, 20,0% (2 su 10) ha RTO pari a 6 ore e 10,0% (1 su 10) ha RTO pari a 1 ora. Questi quattro classi coprono l’intero campione e indicano che il 70,0% dei nodi presenta un RTO compreso tra 2 e 3 ore.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Analisi per tipologia e livello infrastrutturale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Il 100% dei record è classificato come TipoAsset = “infra”. A livello di CompNameL1, il gruppo “Server Farm” rappresenta il 50,0% dei nodi (5 su 10) e registra un RTO medio di 2,2 ore, influenzando in modo significativo la media complessiva. Altri livelli (Host Infra, Network Infra, ATM Network, Workplace Infra, Other Infra) rappresentano ciascuno il 10,0% del campione e mostrano RTO medi variabili fino a 6,0 ore.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RTO per singolo nodo (CompName_L2)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L’analisi per CompName_L2 mostra eterogeneità a livello di nodo: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Cluster 7 - Workplace: RTO medio 6,0 ore (1 nodo)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Cluster0 - Other Internal: RTO medio 6,0 ore (1 nodo)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cluster 6 - Network Devices: RTO medio 3,0 ore (1 nodo)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Cluster 8 - Data Center Win: RTO medio 3,0 ore (1 nodo)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cluster 2 - App Server Farm Windows: RTO medio 3,0 ore (1 nodo)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cluster 3 - Web Server Farm Windows: RTO medio 3,0 ore (1 nodo)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cluster 4 - Server Farm Linux: RTO medio 2,0 ore (1 nodo)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cluster 5 - Data Farm Oracle: RTO medio 2,0 ore (1 nodo)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Cluster 9 - ATM: RTO medio 2,0 ore (1 nodo)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cluster 1 - host legacy: RTO medio 1,0 ora (1 nodo)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Questi valori specifici consentono di individuare i nodi con RTO più elevato (6,0 ore) e quelli con RTO particolarmente contenuto (1,0 ora), utile per calibrare obiettivi SLA differenziati.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Componenti critici vs non critici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L’80,0% dei nodi (8 su 10) è contrassegnato come “Critical = Yes”; i nodi critici presentano un RTO medio pari a 2,375 ore, mentre i nodi non critici (20,0% del campione, 2 nodi) hanno un RTO medio pari a 6,0 ore. Questo divario indica che, nella configurazione attuale, la maggioranza dei componenti critici già beneficia di RTO più contenuti; al contrario i componenti non critici mostrano RTO doppi rispetto alla media dei critici.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Implicazioni operative e raccomandazioni per obiettivi SLA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Standardizzazione per classi: si raccomanda di definire obiettivi RTO differenziati per classi di nodo. Ad esempio: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Nodi critici (80%): target RTO ≤ 2 ore (attuale media 2,375 h; obiettivo ambizioso ma realistico per la maggioranza).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Server Farm (50% del parco): target RTO ≈ 2 ore (attuale media 2,2 h).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Nodi non critici: target RTO ≤ 6 ore o a scaglioni in funzione del rischio operativo (attuale media 6,0 h).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Prioritizzazione degli interventi: i due nodi con RTO pari a 6,0 ore (Cluster 7 e Cluster0) richiedono verifica delle cause (processi di recovery, dipendenze, risorse) per valutare se ridurre l’RTO sia giustificato in funzione dell’impatto di business.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Allineamento SLA e copertura operativa: inserire i target proposti nei contratti SLA e verificare che le procedure operative, le runbook e le risorse on-call supportino il raggiungimento dei target (ad es. ridistribuzione personale sui periodi critici per raggiungere ≤2 h sui nodi critici).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Monitoraggio e reporting: istituire un cruscotto con grafico a barre (visualizzazione consigliata) che mostri per ciascun CompName_L2 il RTO medio attuale confrontato con il target SLA; aggiornare il monitoraggio con cadenza mensile.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Grafico consigliato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Bar chart: asse X = CompName_L2 (nodo), asse Y = RTOh medio; includere linee di riferimento per target SLA (es. 1 h, 2 h, 6 h). Questo grafico evidenzia immediatamente i nodi che superano i threshold desiderati e supporta decisioni operative.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Conclusione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 dati mostrano una base solida per definire obiettivi RTO differenziati: la maggioranza dei nodi critici già opera con RTO medi inferiori a 2,5 ore, mentre una minoranza presenta RTO elevati fino a 6 ore. L’approccio consigliato combina target misurabili per classi di nodo, interventi mirati sui nodi con RTO elevati e reporting tramite bar chart per garantire trasparenza e monitoraggio continuo dell’efficacia degli SLA.</w:t>
      </w:r>
    </w:p>
    <w:p/>
    <w:p/>
    <w:p/>
    <w:p/>
    <w:p>
      <w:pPr>
        <w:spacing w:before="240" w:after="160"/>
      </w:pPr>
      <w:r>
        <w:rPr>
          <w:rFonts w:ascii="Calibri" w:hAnsi="Calibri"/>
          <w:b/>
          <w:color w:val="003366"/>
          <w:sz w:val="28"/>
        </w:rPr>
        <w:t>VISUALIZZAZIONI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20251119_1245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sz w:val="20"/>
        </w:rPr>
        <w:t>Figura: table_20251119_124550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_20251119_1250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sz w:val="20"/>
        </w:rPr>
        <w:t>Figura: bar_chart_20251119_125055</w:t>
      </w:r>
    </w:p>
    <w:p>
      <w:r>
        <w:br w:type="page"/>
      </w:r>
    </w:p>
    <w:p>
      <w:pPr>
        <w:spacing w:before="360" w:after="240"/>
      </w:pPr>
      <w:r>
        <w:rPr>
          <w:rFonts w:ascii="Calibri" w:hAnsi="Calibri"/>
          <w:b/>
          <w:color w:val="003366"/>
          <w:sz w:val="32"/>
        </w:rPr>
        <w:t>SEZIONE 3 – MTTR E ANALISI DEGLI INCIDENTI</w:t>
      </w:r>
    </w:p>
    <w:p>
      <w:pPr>
        <w:spacing w:after="240"/>
      </w:pPr>
      <w:r>
        <w:rPr>
          <w:color w:val="003366"/>
        </w:rPr>
        <w:t>________________________________________________________________________________</w:t>
      </w:r>
    </w:p>
    <w:p/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3.1 Mttr Medio Per Componente/Servizio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Sezione 3.1 — MTTR medio per componente/servizio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Sintesi esecutiva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Il dataset analizzato (T55EventIncidents) contiene 252 incidenti con valore MTTR disponibile per il 100% dei record (nullmttrpct = 0.0%). Il MTTR medio complessivo risulta pari a 4,13 ore, con valore minimo registrato pari a 0,0 ore e massimo pari a 12,0 ore; la deviazione standard è 2,02 ore, indicando una variabilità moderata nelle durate di ripristino.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Distribuzione per componente (volumi e percentuali)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 primi dieci componenti per numero di incidenti rappresentano quote significative del totale: "cluster 5- Data Farm Oracle" conta 29 incidenti (11,51%), "Cluster 7- Workplace" 25 incidenti (9,92%), "Cluster 8 - Data Center Win" 20 incidenti (7,94%), "Cluster 9 - ATM" 19 incidenti (7,54%) e "CB Payments" 19 incidenti (7,54%). Questi cinque componenti da soli coprono oltre il 44% degli incidenti complessivi, evidenziando aree di concentrazione del rischio operativo.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MTTR medio per componente — evidenze principali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classificazione dei componenti per MTTR medio (filtrata su componenti con almeno 5 incidenti) mostra scostamenti rilevanti: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"cluster 6- Network Devices": MTTR medio 5,73 h su 15 incidenti (massimo osservato 10 h; stdev 2,19 h).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"cluster 2 - App Server Farm Windows": MTTR medio 5,58 h su 12 incidenti.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"CB Payments": MTTR medio 5,47 h su 19 incidenti (stdev 1,22 h).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"Cluster 8 - Data Center Win": MTTR medio 4,55 h su 20 incidenti.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"cluster 5- Data Farm Oracle": MTTR medio 4,41 h su 29 incidenti.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All'estremità opposta, componenti con MTTR medi più bassi includono "Referential" con 2,50 h (12 incidenti), "Private Banking" 3,00 h (6 incidenti) e "Customer Relationship" 3,06 h (16 incidenti). Questi componenti mostrano tempi di ripristino sistematicamente inferiori alla media aziendale.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Tendenze temporali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L'analisi mensile del MTTR evidenzia variabilità stagionale: ad esempio, i mesi più recenti mostrano MTTR medi di 5,20 h (dicembre 2024, 5 incidenti) e 5,83 h (agosto 2024, 6 incidenti), mentre ottobre 2024 registra una media significativamente inferiore a 2,40 h con lo stesso numero di incidenti (5). Queste oscillazioni suggeriscono episodi periodici o variazioni di tipologia degli incidenti che richiedono approfondimento.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Interpretazione operativa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Completezza dati: la copertura MTTR al 100% fornisce una base affidabile per decisioni operative e per il monitoraggio delle misure di miglioramento.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Aree prioritarie: "cluster 6- Network Devices" e "CB Payments" presentano combinazioni di MTTR medio elevato (&gt;=5,4 h) e volumi di incidente rilevanti; rappresentano quindi priorità per interventi su processi di escalation, playbook di ripristino e strumenti di monitoraggio.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Variabilità: la deviazione standard complessiva (2,02 h) e i valori massimi (fino a 12 h) indicano che, pur avendo un MTTR medio intorno a 4,1 h, esistono casi estremi che impattano significativamente il servizio e la continuità operativa.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Raccomandazioni operative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Visualizzazione: realizzare un grafico a barre (Bar chart) con MTTR medio per componente, ordinato per MTTR decrescente e affiancato dal numero di incidenti, per facilitare la prioritizzazione degli interventi.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Focalizzazione su network e pagamenti: pianificare un progetto mirato di riduzione MTTR per "cluster 6- Network Devices" e "CB Payments" (obiettivo: ridurre il MTTR medio di almeno il 20% nel prossimo trimestre), includendo revisione runbook, esercitazioni di ripristino e automazione delle procedure di failover.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Analisi delle cause dei casi estremi: indagare i casi con MTTR &gt; 8 h (fino a 12 h rilevati) per identificare colli di bottiglia operativi, dipendenze esterne e miglioramenti della comunicazione tra team.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Monitor e KPI operativi: introdurre KPI di soglia (es. % incidenti con ripristino &lt;= TargetRTO) e report mensile che confronti MTTR osservato vs TargetRTO per ogni componente critico.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Conclusione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L’analisi mostra un MTTR medio aziendale di 4,13 ore su 252 incidenti con dati completi. Componenti specifici — in particolare network devices e servizi di pagamento — mostrano MTTR medi significativamente superiori alla media e rappresentano opportunità di intervento prioritario. La presentazione tramite bar chart del MTTR per componente, unita a interventi mirati su runbook e monitoraggio, abilita una riduzione misurabile dei tempi di ripristino e un miglioramento della resilienza del servizio.</w:t>
      </w:r>
    </w:p>
    <w:p/>
    <w:p/>
    <w:p/>
    <w:p/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3.2 Distribuzione Dei Tempi Di Risoluzione Dei Ticket (Ticketing)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Sezione 3.2 — Distribuzione dei tempi di risoluzione dei ticket (ticketing)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Sintesi e contesto dei dati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Il dataset analizzato comprende 10.000 record estratti dalla tabella T59EventLogTicketCustoService e copre aperture di ticket distribuite sull’anno 2024 (media mensile di circa 833 ticket). La misura principale analizzata è TicketResolutionTime_Time (valore intero espresso in giorni). I risultati quantitativi descrivono una popolazione di ticket con tempi di risoluzione compresi tra 0 e 5 giorni, media aritmetica pari a 2,2034 giorni e forti concentrazioni sui valori discreti della scala 0–5.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Distribuzione e metriche chiave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distribuzione per valori di tempo di risoluzione mostra le seguenti frequenze assolute e percentuali: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- 0 giorni: 2.695 ticket (26,95%)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- 1 giorno: 1.392 ticket (13,92%)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- 2 giorni: 1.484 ticket (14,84%)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- 3 giorni: 1.517 ticket (15,17%)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- 4 giorni: 1.437 ticket (14,37%)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- 5 giorni: 1.475 ticket (14,75%)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Indicatori di posizione e dispersione calcolati: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Minimo = 0 giorni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Massimo = 5 giorni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Media = 2,2034 giorni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Primo quartile (Q1) = 0 giorni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Mediana (Q2) = 2 giorni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Terzo quartile (Q3) = 4 giorni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Interpretazione per box plot (grafico consigliato)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Per la rappresentazione tramite box plot, si osserva una mediana a 2 giorni, interquartile range (IQR) compreso tra 0 e 4 giorni e whisker che si estendono da 0 a 5 giorni (nessun valore estremo oltre 5). La forma della distribuzione è discreta e compatta: il 50% dei ticket si risolve in 0–2 giorni (mediana = 2), il 75% si risolve entro 4 giorni (Q3 = 4) e il 100% dei ticket è risolto entro 5 giorni. La percentuale di ticket risolti entro 2 giorni è 55,71% (somma delle percentuali per 0, 1 e 2 giorni), mentre la quota con tempo di risoluzione pari o superiore a 4 giorni è 29,12% (valori 4 e 5 giorni).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Analisi per servizio di primo livello (UserServiceL1)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distribuzione per UserServiceL1 evidenzia concentrazioni significative del volume ticket nei seguenti gruppi: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Core Banking: 2.280 ticket (22,80%)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Governance: 2.017 ticket (20,17%)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Security: 1.522 ticket (15,22%)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Enterprise Management: 1.141 ticket (11,41%)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Customer Management: 955 ticket (9,55%)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Network: 942 ticket (9,42%)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Digital Channels: 634 ticket (6,34%)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Data Center: 509 ticket (5,09%)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L’analisi aggregata mostra che la media per categoria L1 è arrotondabile a 2 giorni in tutte le macro-aree (min = 0, max = 5 per ciascuna), indicando una variabilità intragruppo limitata per il tempo medio, ma una forte differenza nei volumi che richiede priorizzazione operativa.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Implicazioni operative e raccomandazioni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SLA e target operativo: il valore mediano a 2 giorni e la quota attuale del 55,71% di ticket risolti entro 2 giorni suggeriscono di fissare un obiettivo operativo intermedio (es. ≥70% entro 2 giorni) e un livello di escalation a 4 giorni (Q3) per ridurre la coda di ticket a lungo tempo di risoluzione.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Focus sui volumi maggiori: Core Banking e Governance rappresentano il 42,97% del volume complessivo (2.280 + 2.017 = 4.297 ticket). Interventi mirati su questi servizi (ottimizzazione processi, risorse dedicate, playbook) hanno il maggiore potenziale di impatto sulla metrica complessiva.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Riduzione della “tail”: il 29,12% dei ticket ha tempi ≥4 giorni; si raccomanda di implementare un’analisi delle cause radice (root cause) per i ticket con risoluzione a 4–5 giorni (es. tipologie ripetute, criticità di approvvigionamento, dipendenze cross-team).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Monitoraggio e rappresentazione: si consiglia di includere il box plot (mediana 2, IQR 0–4, whisker 0–5) nelle dashboard operative per evidenziare scostamenti temporali e confronti per servizio L1. È utile integrare la visualizzazione con una metrica “% entro 2 giorni” e “% oltre 4 giorni” aggiornate a cadenza settimanale.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Conclusione esecutiva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base dati (10.000 ticket) mostra un servizio generalmente reattivo con mediana pari a 2 giorni e nessun outlier oltre 5 giorni. Tuttavia, la quota significativa di ticket con risoluzione pari o superiore a 4 giorni (29,12%) richiede attenzione operativa, in particolare sulle aree ad alto volume (Core Banking, Governance). Azioni mirate su processi, priorità e escalation possono aumentare la quota di risoluzioni rapide e ridurre la variabilità verso la coda superiore dei tempi di risoluzione.</w:t>
      </w:r>
    </w:p>
    <w:p/>
    <w:p/>
    <w:p/>
    <w:p/>
    <w:p>
      <w:pPr>
        <w:spacing w:before="240" w:after="160"/>
      </w:pPr>
      <w:r>
        <w:rPr>
          <w:rFonts w:ascii="Calibri" w:hAnsi="Calibri"/>
          <w:b/>
          <w:color w:val="003366"/>
          <w:sz w:val="28"/>
        </w:rPr>
        <w:t>VISUALIZZAZIONI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_20251119_1251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sz w:val="20"/>
        </w:rPr>
        <w:t>Figura: bar_chart_20251119_125135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plot_20251119_1255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sz w:val="20"/>
        </w:rPr>
        <w:t>Figura: box_plot_20251119_125528</w:t>
      </w:r>
    </w:p>
    <w:p>
      <w:r>
        <w:br w:type="page"/>
      </w:r>
    </w:p>
    <w:p>
      <w:pPr>
        <w:spacing w:before="360" w:after="240"/>
      </w:pPr>
      <w:r>
        <w:rPr>
          <w:rFonts w:ascii="Calibri" w:hAnsi="Calibri"/>
          <w:b/>
          <w:color w:val="003366"/>
          <w:sz w:val="32"/>
        </w:rPr>
        <w:t>SEZIONE 4 – MTBF E RICORRENZA GUASTI</w:t>
      </w:r>
    </w:p>
    <w:p>
      <w:pPr>
        <w:spacing w:after="240"/>
      </w:pPr>
      <w:r>
        <w:rPr>
          <w:color w:val="003366"/>
        </w:rPr>
        <w:t>________________________________________________________________________________</w:t>
      </w:r>
    </w:p>
    <w:p/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4.1 Mtbf Per Asset/Nodo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Sezione 4.1 — MTBF per asset / nodo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Sintesi esecutiva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Il dataset T17AssetNodeDetail contiene 901 record relativi al periodo 2024 con la misura AvgTimebtwFailure (MTBF) disponibile per ciascun nodo. L’MTBF medio calcolato sull’intero campione è pari a 0,9752 giorni (≈ 23,4 ore) con una deviazione standard di 0,0171 giorni (≈ 24,6 minuti). L’intervallo osservato è compreso tra un minimo di 0,95 giorni (≈ 22,8 ore) e un massimo di 1,00 giorni (24 ore), indicando una variazione assoluta molto ridotta tra i nodi.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Distribuzione e concentrazione dei valori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distribuzione dei valori MTBF, arrotondati a due decimali, evidenzia concentrazione attorno a valori prossimi a 1 giorno: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1,00 giorni: 154 record (17,09%)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0,99 giorni: 150 record (16,65%)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0,98 giorni: 150 record (16,65%)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0,97 giorni: 154 record (17,09%)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0,96 giorni: 146 record (16,20%)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0,95 giorni: 147 record (16,32%)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Complessivamente il 50,39% dei record (454 su 901) presenta MTBF ≥ 0,98 giorni; il 32,52% del campione (293 su 901) è concentrato su valori ≤ 0,96 giorni. Questa distribuzione compatta conferma che, pur con piccole differenze, la maggior parte dei nodi presenta MTBF attorno alle 23–24 ore.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Analisi per nodo e per cluster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Le analisi per Computername mostrano che molte voci sono singole osservazioni: le prime 20 righe di raggruppamento mostrano conteggi per nodo pari a 1, dunque la gran parte dei nodi ha una sola rilevazione disponibile. Questo limita la robustezza delle conclusioni a livello di singolo host. Sul piano dei cluster, i dati sono concentrati: il cluster cdcomp028 rappresenta 514 record (57,05% del totale), seguito da cdcomp024 con 139 record (15,43%). Tale concentrazione indica che le metriche di MTBF sono fortemente influenzate dalle piattaforme del cluster cdcomp_028.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Esempi operativi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Nodi campione rilevati nel dataset: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labwinloymps01: MTBF = 1,00 giorni (1 record)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oa-fatca-01: MTBF = 0,99 giorni (1 record)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labswinsas01: MTBF = 0,97 giorni (1 record)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labswinsecmc01: MTBF = 0,95 giorni (1 record)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Implicazioni per monitoraggio e priorità operative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La variabilità complessiva è bassa (sd ≈ 24,6 minuti), quindi scostamenti anche piccoli (es. 0,02–0,03 giorni ≈ 30–45 minuti) sono rilevanti e giustificano attenzione operativa.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Il 32,5% dei record con MTBF ≤ 0,96 giorni identifica una porzione significativa di nodi con performance leggermente peggiori rispetto alla media; questi nodi dovrebbero essere priorizzati per indagini su cause ricorrenti o per verifica delle politiche di manutenzione preventiva.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La forte concentrazione di dati in cdcomp028 (57,05%) suggerisce di verificare se le problematiche identificate dipendono da caratteristiche infrastrutturali di quel cluster piuttosto che da singoli host.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Qualità dei dati e limitazioni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La maggioranza dei Computername presenta una sola osservazione; di conseguenza, l’affidabilità delle stime MTBF a livello di singolo nodo è limitata. Per analisi con significatività statistica si raccomanda di aggregare i dati su periodi più lunghi o a livello di cluster/servizio (CompName o cdComp).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L’analisi è basata su 901 record tutti riferiti all’anno 2024; non sono disponibili trend multiannuali per valutare cambiamenti temporali.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Raccomandazioni operative e di visualizzazione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Visualizzazione: si raccomanda un grafico a barre (bar chart) che riporti, da un lato, MTBF medio per nodo per i primi N nodi ordinati per impatto (es. top 20 per scostamento dalla media) e, dall’altro, una versione aggregata per cluster (cd_Comp) per evidenziare concentrazioni. Per chiarezza, utilizzare due grafici a barre affiancati: (1) MTBF per nodo (top N) e (2) MTBF medio per cluster.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Aggregazione: produrre metriche aggregate per cd_Comp e per CompName (media, minimo, massimo, conteggio) per ottenere stime più robuste e identificare cluster con performance inferiori alla media.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Soglie operative: impostare allarmi su soglie assolute (es. MTBF ≤ 0,96 giorni) e su variazioni relative (es. scostamento &gt; 0,02 giorni rispetto alla media cluster) per intercettare degradazioni tempestive.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Raccolta dati: aumentare la frequenza di raccolta e conservare serie temporali maggiori per ciascun nodo in modo da poter stimare MTBF con intervalli di confidenza e rilevare trend.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Conclusione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 dati mostrano un MTBF medio di 0,9752 giorni con variazione ridotta tra nodi; tuttavia la presenza predominante di osservazioni singole per molti Computer_name e la forte concentrazione su alcuni cluster limitano l’analisi a livello di singolo host. L’adozione immediata di visualizzazioni a barre (per nodi e per cluster), l’aggregazione dei dati e l’introduzione di soglie operative consentono di trasformare i risultati attuali in azioni di miglioramento della disponibilità.</w:t>
      </w:r>
    </w:p>
    <w:p/>
    <w:p/>
    <w:p/>
    <w:p/>
    <w:p>
      <w:pPr>
        <w:spacing w:before="240" w:after="160"/>
      </w:pPr>
      <w:r>
        <w:rPr>
          <w:rFonts w:ascii="Calibri" w:hAnsi="Calibri"/>
          <w:b/>
          <w:color w:val="003366"/>
          <w:sz w:val="28"/>
        </w:rPr>
        <w:t>VISUALIZZAZIONI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_20251119_12584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sz w:val="20"/>
        </w:rPr>
        <w:t>Figura: bar_chart_20251119_125841</w:t>
      </w:r>
    </w:p>
    <w:p>
      <w:r>
        <w:br w:type="page"/>
      </w:r>
    </w:p>
    <w:p>
      <w:pPr>
        <w:spacing w:before="360" w:after="240"/>
      </w:pPr>
      <w:r>
        <w:rPr>
          <w:rFonts w:ascii="Calibri" w:hAnsi="Calibri"/>
          <w:b/>
          <w:color w:val="003366"/>
          <w:sz w:val="32"/>
        </w:rPr>
        <w:t>SEZIONE 5 – DETTAGLIO RECORD E AUDIT</w:t>
      </w:r>
    </w:p>
    <w:p>
      <w:pPr>
        <w:spacing w:after="240"/>
      </w:pPr>
      <w:r>
        <w:rPr>
          <w:color w:val="003366"/>
        </w:rPr>
        <w:t>________________________________________________________________________________</w:t>
      </w:r>
    </w:p>
    <w:p/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5.1 Registro Incidenti Dettagliato (Periodo)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5.1 Registro incidenti dettagliato (periodo)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Panoramica sintetica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Il registro incidenti analizzato contiene 252 eventi rilevati nel periodo compreso tra il 2023-01-08 e il 2024-12-30. Il dataset copre due anni solari consecutivi e fornisce dettagli temporali, di componente coinvolta e di gravità, oltre a misure operative quali il tempo in carico dell’incidente e il tempo medio per il restart.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Volume e trend temporale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Nel periodo considerato si registrano 252 incidenti totali: 150 nel 2023 (59,5% del totale) e 102 nel 2024 (40,5%). L’andamento mensile mostra picchi concentrati in alcuni mesi: i valori massimi per singolo mese sono 17 incidenti (luglio 2024) e 16 incidenti in più mesi (marzo 2024; vari mesi del 2023). Complessivamente il 2023 presenta una frequenza più elevata (+48%) rispetto al 2024, segnalando una riduzione del numero assoluto di eventi nell’anno più recente.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Distribuzione per gravità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classificazione per Incident_Type mostra che la maggioranza degli eventi è a bassa gravità: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LIEVE: 91 incidenti — 36,11% del totale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MOLTO LIEVE: 66 incidenti — 26,19%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MEDIO: 51 incidenti — 20,24%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GRAVE: 40 incidenti — 15,87%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MOLTO GRAVE: 4 incidenti — 1,59%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Questa distribuzione indica che il 62,3% degli incidenti è classificato come “LIEVE” o “MOLTO LIEVE”, mentre il 17,46% rientra nelle categorie “GRAVE” o “MOLTO GRAVE”.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Componenti più impattate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L’analisi per CompName evidenzia una concentrazione significativa degli incidenti su un numero limitato di componenti. Le prime dieci componenti rappresentano 185 eventi su 252, pari al 73,4% del totale. I principali contributori sono: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cluster 5 - Data Farm Oracle: 29 incidenti — 11,51%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Cluster 7 - Workplace: 25 incidenti — 9,92%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Cluster 8 - Data Center Win: 20 incidenti — 7,94%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Cluster 9 - ATM: 19 incidenti — 7,54%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CB Payments: 19 incidenti — 7,54%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Le cinque componenti sopra elencate spiegano il 44,4% degli incidenti complessivi, suggerendo che interventi mirati su questi asset possono ridurre in modo significativo il numero totale di eventi.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Metriche operative di impatto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Le misure operative aggregate indicano: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Tempo medio in carico dell’incidente (TimeIncidentin_charge(h)): 2,20 ore (max 8,00 ore). Il dato è calcolato su 252 record disponibili per questa misura.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Tempo medio per il restart (AvgTimetoRestart(h)): 4,13 ore (max 12,00 ore). Anche questa misura è disponibile per tutti i 252 record.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Questi valori consentono di valutare la capacità operativa attuale: in media il ripristino richiede circa il doppio del tempo impiegato per la gestione in carico dell’incidente.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Insight operativi e priorità di intervento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Priorità sulla riduzione dei restart: dato che il tempo medio al restart è 4,13 ore — quasi il doppio del tempo medio in carico — è opportuno focalizzarsi su misure che velocizzino il restart (ad es. procedure più snelle, automazioni di recovery, playbook aggiornati).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Focalizzazione su top components: poiché il 73,4% degli incidenti è concentrato sulle prime 10 componenti e le prime 5 coprono il 44,4%, programmi di remediation proattivi (patching prioritario, rafforzamento capacity/planning, monitoraggio mirato) sulle componenti critiche possono ridurre significativamente la frequenza degli incidenti.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Gestione delle gravità elevate: pur rappresentando solo il 1,6% del campione, gli incidenti “MOLTO GRAVE” richiedono analisi approfondite delle root cause per evitare ricorrenze che possano impattare fortemente il servizio e i KPI di business.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Raccomandazioni operative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Implementare un programma di riduzione del tempo di restart con obiettivi KPI misurabili (es. ridurre il tempo medio di restart dal 4,13h al di sotto di 3,0h entro 6 mesi).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Avviare un piano di interventi prioritari sulle prime 5 componenti più impattate per ridurre almeno il 30% degli incidenti su quelle componenti nel prossimo anno.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Consolidare reportistica mensile con soglie di allerta per i mesi in cui storicamente si riscontrano picchi (es. gennaio-marzo e i mesi estivi identificati), per attivare risorse elastiche nei periodi critici.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Effettuare RCA dettagliate sugli incidenti classificati come GRAVE o MOLTO GRAVE e integrare le lezioni apprese nei playbook operativi e nei runbook di restart.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Conclusione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Il registro incidenti fornisce una base empirica solida: 252 eventi documentati, concentrazione significativa su poche componenti (73,4% sulle prime 10) e metriche operative chiare (tempo medio in carico 2,20h; tempo medio restart 4,13h). Interventi mirati sulle componenti più critiche e iniziative per ridurre il tempo di restart offrono il potenziale più immediato per migliorare la resilienza operativa e abbassare l’impatto complessivo degli incidenti.</w:t>
      </w:r>
    </w:p>
    <w:p/>
    <w:p/>
    <w:p/>
    <w:p/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5.2 Registro Ticket E Sla Di Risoluzione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Sezione 5.2 — Registro ticket e SLA di risoluzione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Contesto e campione di analisi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Il paragrafo si basa sull’analisi della tabella T59EventLogTicketCustoService, che contiene 10.000 ticket aperti nel periodo analizzato. Il volume medio mensile è pari a circa 833 ticket (10.000/12). Il carico mensile mostra un picco a febbraio (1.001 ticket) e un minimo a dicembre (627 ticket), con una diminuzione del 37,4% dal picco di febbraio al minimo di dicembre.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Metriche operative e livelli di servizio osservati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Il tempo medio complessivo di risoluzione è di 2,20 giorni (media 2,2034 giorni), con valori estremi di 0 a 5 giorni. Il tempo medio in carico è di 1,47 giorni (media 1,468 giorni), con valori compresi tra 0 e 3 giorni. Sul totale dei ticket, il 55,71% viene risolto entro 2 giorni mentre il 40,87% risulta chiuso entro 1 giorno. Il 29,12% dei ticket supera i 3 giorni di risoluzione, evidenziando una quota rilevante di incidenti con tempi di trattamento prolungati. Al momento dell’estrazione, il 38,55% dei ticket risulta chiuso e il 61,45% è ancora aperto o in corso di risoluzione, segnalando un backlog operativo significativo.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Distribuzione per service line (UserServiceL1)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Le prime otto service line per volume rappresentano la maggioranza del carico: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Core Banking: 2.280 ticket (22,8% del totale), tempo medio risoluzione 2,18 giorni, tempo medio in carico 1,42 giorni.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Governance: 2.017 ticket (20,17%), tempo medio risoluzione 2,24 giorni, tempo medio in carico 1,49 giorni.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Security: 1.522 ticket (15,22%), tempo medio risoluzione 2,16 giorni, tempo medio in carico 1,49 giorni.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Enterprise Management: 1.141 ticket (11,41%), tempo medio risoluzione 2,24 giorni, tempo medio in carico 1,50 giorni.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Customer Management: 955 ticket (9,55%), tempo medio risoluzione 2,23 giorni, tempo medio in carico 1,45 giorni.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Network: 942 ticket (9,42%), tempo medio risoluzione 2,22 giorni, tempo medio in carico 1,47 giorni.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Digital Channels: 634 ticket (6,34%), tempo medio risoluzione 2,13 giorni, tempo medio in carico 1,50 giorni.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Data Center: 509 ticket (5,09%), tempo medio risoluzione 2,21 giorni, tempo medio in carico 1,47 giorni.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Insight strategici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Concentrazione del carico: Core Banking e Governance insieme generano 4.297 ticket, pari al 42,97% del totale. Queste due aree costituiscono il primo ambito di intervento per qualsiasi iniziativa volta a migliorare gli SLA complessivi.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SLA effettivi vs obiettivi: la mediana dei tempi di risoluzione non è fornita ma la presenza del 29,12% di ticket oltre 3 giorni indica un gap operativo significativo rispetto a SLA orientati alla risoluzione in 48 ore. Pur essendo oltre la metà (55,71%) dei ticket risolta entro 2 giorni, quasi un terzo sfora i 3 giorni; questo profilo bimodale richiede interventi mirati su backlog e casi complessi.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Backlog operativo: il 61,45% di ticket aperti suggerisce che il flusso di chiusura non è sufficiente a ridurre lo stock attivo. Il management deve verificare capacità di team, riassegnazione priorità e processi di escalation.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Raccomandazioni operative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Prioritizzazione per impatto: avviare un programma di “hot-spot” sulle service line Core Banking e Governance (43% del carico) con squadre dedicate e KPI di chiusura rapida.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Riduzione dei ticket &gt;3 giorni: definire una riduzione target (ad esempio, ridurre dal 29,12% al &lt;15% entro il prossimo trimestre) e introdurre controlli settimanali su casi &gt;48 ore per sbloccare dipendenze e escalation.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Chiusura backlog: stabilire obiettivi di riduzione dello stock aperto (attualmente 61,45% aperti) con un piano di capacity planning e possibili azioni correttive (turni, risorse temporanee, automazione).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Monitoraggio SLA per service line: adottare dashboard mensili che mettano a confronto tassi di risoluzione a 1 e 2 giorni, tasso di casi &gt;3 giorni e percentuale di chiusura per ciascuna UserServiceL1 per misurare l’efficacia delle azioni correttive.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Sintesi esecutiva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 dati mostrano un sistema che risolve la maggior parte dei ticket entro 48 ore (55,71%), ma che presenta una quota significativa di casi con risoluzione prolungata (&gt;3 giorni, 29,12%) e un backlog operativo elevato (61,45% aperti). Il focus immediato deve essere sulla riduzione dei ticket a lunga durata e sulla gestione proattiva delle service line ad alto volume (Core Banking e Governance) per migliorare l’aderenza agli SLA complessivi e ridurre il rischio operativo.</w:t>
      </w:r>
    </w:p>
    <w:p/>
    <w:p/>
    <w:p/>
    <w:p/>
    <w:p>
      <w:pPr>
        <w:spacing w:before="240" w:after="160"/>
      </w:pPr>
      <w:r>
        <w:rPr>
          <w:rFonts w:ascii="Calibri" w:hAnsi="Calibri"/>
          <w:b/>
          <w:color w:val="003366"/>
          <w:sz w:val="28"/>
        </w:rPr>
        <w:t>VISUALIZZAZIONI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20251119_1302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sz w:val="20"/>
        </w:rPr>
        <w:t>Figura: table_20251119_130204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20251119_13084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sz w:val="20"/>
        </w:rPr>
        <w:t>Figura: table_20251119_130845</w:t>
      </w:r>
    </w:p>
    <w:p>
      <w:r>
        <w:br w:type="page"/>
      </w:r>
    </w:p>
    <w:p>
      <w:pPr>
        <w:spacing w:before="360" w:after="240"/>
      </w:pPr>
      <w:r>
        <w:rPr>
          <w:rFonts w:ascii="Calibri" w:hAnsi="Calibri"/>
          <w:b/>
          <w:color w:val="003366"/>
          <w:sz w:val="32"/>
        </w:rPr>
        <w:t>SEZIONE 6 – SINTESI FINALE E RACCOMANDAZIONI</w:t>
      </w:r>
    </w:p>
    <w:p>
      <w:pPr>
        <w:spacing w:after="240"/>
      </w:pPr>
      <w:r>
        <w:rPr>
          <w:color w:val="003366"/>
        </w:rPr>
        <w:t>________________________________________________________________________________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Breve conclusione con priorità operative (es. asset con MTTR elevato o MTBF basso), verifica RTO vs MTTR e possibili interventi (monitoraggio, manutenzione preventiva, escalation SLA).</w:t>
      </w:r>
    </w:p>
    <w:p/>
    <w:p/>
    <w:p>
      <w:r>
        <w:br w:type="page"/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