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8"/>
        </w:rPr>
        <w:t>REPORT CONFORMITÀ SLA: SCOSTAMENTI RISPETTO AI LIVELLI DI SERVIZIO CONCORDATI (TIME WINDOW: 2023-2024)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666666"/>
          <w:sz w:val="32"/>
        </w:rPr>
        <w:t>REPORT ANALITICO AZIENDALE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4"/>
        </w:rPr>
        <w:t>Report ID: RPT-20251120_153739</w:t>
        <w:br/>
        <w:t>Data di Generazione: 20 November 2025</w:t>
        <w:br/>
        <w:t>Classificazione: Interno - Riservato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INDICE</w:t>
      </w:r>
    </w:p>
    <w:p/>
    <w:p>
      <w:r>
        <w:rPr>
          <w:rFonts w:ascii="Calibri" w:hAnsi="Calibri"/>
          <w:sz w:val="24"/>
        </w:rPr>
        <w:t>1. Sezione 1 – Sintesi esecutiva</w:t>
      </w:r>
      <w:r>
        <w:rPr>
          <w:rFonts w:ascii="Calibri" w:hAnsi="Calibri"/>
          <w:sz w:val="24"/>
        </w:rPr>
        <w:t xml:space="preserve"> ............................ 1</w:t>
      </w:r>
    </w:p>
    <w:p>
      <w:r>
        <w:rPr>
          <w:rFonts w:ascii="Calibri" w:hAnsi="Calibri"/>
          <w:sz w:val="24"/>
        </w:rPr>
        <w:t>2. Sezione 2 – Scostamenti per fornitore e impatto economico</w:t>
      </w:r>
      <w:r>
        <w:rPr>
          <w:rFonts w:ascii="Calibri" w:hAnsi="Calibri"/>
          <w:sz w:val="24"/>
        </w:rPr>
        <w:t xml:space="preserve">  3</w:t>
      </w:r>
    </w:p>
    <w:p>
      <w:r>
        <w:rPr>
          <w:rFonts w:ascii="Calibri" w:hAnsi="Calibri"/>
          <w:sz w:val="24"/>
        </w:rPr>
        <w:t>3. Sezione 3 – Cause principali degli scostamenti</w:t>
      </w:r>
      <w:r>
        <w:rPr>
          <w:rFonts w:ascii="Calibri" w:hAnsi="Calibri"/>
          <w:sz w:val="24"/>
        </w:rPr>
        <w:t xml:space="preserve"> ........... 5</w:t>
      </w:r>
    </w:p>
    <w:p>
      <w:r>
        <w:rPr>
          <w:rFonts w:ascii="Calibri" w:hAnsi="Calibri"/>
          <w:sz w:val="24"/>
        </w:rPr>
        <w:t>4. Sezione 4 – Performance operativa e conformità processi</w:t>
      </w:r>
      <w:r>
        <w:rPr>
          <w:rFonts w:ascii="Calibri" w:hAnsi="Calibri"/>
          <w:sz w:val="24"/>
        </w:rPr>
        <w:t xml:space="preserve"> .. 7</w:t>
      </w:r>
    </w:p>
    <w:p>
      <w:r>
        <w:rPr>
          <w:rFonts w:ascii="Calibri" w:hAnsi="Calibri"/>
          <w:sz w:val="24"/>
        </w:rPr>
        <w:t>5. Sezione 5 – Confronto target contrattuali vs obiettivi registrati</w:t>
      </w:r>
      <w:r>
        <w:rPr>
          <w:rFonts w:ascii="Calibri" w:hAnsi="Calibri"/>
          <w:sz w:val="24"/>
        </w:rPr>
        <w:t xml:space="preserve">  9</w:t>
      </w:r>
    </w:p>
    <w:p>
      <w:r>
        <w:rPr>
          <w:rFonts w:ascii="Calibri" w:hAnsi="Calibri"/>
          <w:sz w:val="24"/>
        </w:rPr>
        <w:t>6. Sezione 6 – Raccomandazioni sintetiche (brief)</w:t>
      </w:r>
      <w:r>
        <w:rPr>
          <w:rFonts w:ascii="Calibri" w:hAnsi="Calibri"/>
          <w:sz w:val="24"/>
        </w:rPr>
        <w:t xml:space="preserve"> ........... 11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1 – SINTESI ESECUTIVA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Breve riepilogo degli scostamenti complessivi rispetto agli SLA per il periodo 2023-2024, impatti finanziari e principali categorie di causa identificate (incidente tecnico, terza parte/vendor, processi operativi). Si evidenziano fornitori con penali applicate e servizi con bassa percentuale di ticket entro SLA.</w:t>
      </w:r>
    </w:p>
    <w:p/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1.1 Indicatori Chiave E Trend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1.1 — Indicatori chiave e trend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Panoramica e metrica complessiva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dataset analizzato conta 9 valutazioni (record) riferite ai fornitori. La metrica di Disponibilità SLA risulta uniforme e pari a 1.0 per tutti i record, corrispondente a un livello di disponibilità del 100% registrato nelle valutazioni. I principali indicatori quantitativi mostrano: 15 Incidenti Critici totali (media 1,67 per valutazione, range 0–3), una media di TicketEntroSLA pari a 0,9578 (95,78%) con valori compresi tra 0,94 e 0,98, e PenaliApplicateeuro per un totale di 20.500 € (media 2.277,78 €, range 0–3.500 €).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Disponibilità SLA e qualità del servizio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Disponibilità SLA riportata è pienamente conforme (100% in tutte le valutazioni). Tuttavia, la piena disponibilità rilevata non elimina evidenze operative critiche: la media di Incidenti Critici è 1,67 per valutazione e si registrano violazioni di sicurezza in totale pari a 4 eventi (media 0,44 eventi per valutazione). L’analisi evidenzia quindi una discrepanza tra disponibilità nominale e stabilità operativa: la resilienza infrastrutturale risulta formalmente rispettata, mentre persistono eventi che impattano la continuità e la sicurezza dei servizi.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Efficacia nella gestione ticket e rispetto degli SLA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rispetto dei tempi di gestione ticket è sostanzialmente buono ma non uniforme: il TicketEntroSLA presenta una media del 95,78% con un minimo del 94% e un massimo del 98%. Questo intervallo indica margini di miglioramento per raggiungere target eccellenti (&gt;98%), in particolare nei casi dove il valore scende verso il 94%, che possono essere associati a impatti operativi e contestuali alle criticità segnalate.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Impatto economico delle non conformità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penali applicate mostrano un impatto economico significativo: totale 20.500 € e media per valutazione 2.277,78 €, con un massimo per singolo evento di 3.500 €. Il fatto che 7 dei 9 record registrino non conformità (Minore 44,44%, Maggiore 33,33%, Nessuna 22,22%) indica che le inadempienze sono frequenti e generano costi economici non trascurabili, concentrati su alcune forniture/servizi critici.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Classificazione servizi e trend temporali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Due terzi delle valutazioni (66,67%) sono classificate come “Critico”, mentre il restante 33,33% è “Importante”. Per tipologia di servizio, Hosting Cloud rappresenta il 33,33% delle righe, seguito da Network Services, Database &amp; Storage e Gestione Sicurezza con quote rispettive del 22,22% ciascuna. L’analisi temporale mostra un pattern regolare: sono presenti 3 valutazioni per i mesi di marzo, giugno e settembre 2025 (3 record per ciascun mese), suggerendo una frequenza di rilevazione trimestrale e una distribuzione stabile nel periodo esaminato.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delle implicazioni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Nonostante la disponibilità SLA sia formalmente soddisfatta al 100%, la presenza di incidenti critici (media 1,67), violazioni di sicurezza e penali totali pari a 20.500 € indica rischi residui significativi per i servizi classificati come critici. Il rispetto medio dei ticket entro SLA (95,78%) è buono ma non omogeneo e contribuisce alla variabilità di performance che genera costi e potenziali impatti di business.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 immediate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Prioritizzare l’analisi delle cause root degli Incidenti Critici per ridurne la frequenza (attuale media 1,67) e contenere penali economicamente rilevanti.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Stabilire obiettivi operativi per TicketEntroSLA &gt;98% e monitorare i casi sotto il 94% con azioni correttive mirate.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Rafforzare controlli di sicurezza sui servizi critici (66,67% dei record) per ridurre le violazioni e la quota di non conformità “Maggiore” (33,33%).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Integrare reportistica trimestrale con drill-down per vendor e servizio per identificare i fornitori con maggior incidenza di penali (max 3.500 €) e concentrare azioni contrattuali o di governance.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Il report prosegue con analisi per fornitore e suggerimenti operativi dettagliati per mitigare rischi e ottimizzare costi di non conformità.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0251120_1519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table_20251120_151948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2 – SCOSTAMENTI PER FORNITORE E IMPATTO ECONOMICO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2.1 Penali E Impatto Finanziario Per Vendor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2.1 Penali e impatto finanziario per vendor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dei dati e contesto operativo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 dati analizzati provengono dalla tabella T100VendorsSLA (9 record totali) e mostrano un impatto economico complessivo pari a 20.500,00 euro in penali applicate. Il campione copre 3 fornitori distinti, con 3 rilevazioni per ciascun vendor. La classificazione dei servizi è sbilanciata verso categorie critiche: il 66,67% dei record è etichettato come "Critico", mentre il 33,33% è "Importante".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Impatto complessivo e metriche chiave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 totale delle penali applicate è 20.500,00 euro. Le metriche sintetiche per la variabile PenaliApplicateeuro sono: valore minimo 0,00 euro, valore massimo 3.500,00 euro e valore medio per record 2.277,78 euro. Il numero medio di incidenti critici registrati è 1,67 per record e la media di ticket chiusi entro SLA è 95,78%.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Ripartizione per vendor (principali evidenze)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KYNDRYL: totale penali 8.500,00 euro (41,46% del totale), 3 record; media penali per evento 2.833,33 euro; massimo 3.500,00 euro; minimo 1.500,00 euro.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IBM: totale penali 7.000,00 euro (34,15% del totale), 3 record; media 2.333,33 euro; massimo 3.500,00 euro; minimo 0,00 euro.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HITACHI: totale penali 5.000,00 euro (24,39% del totale), 3 record; media 1.666,67 euro; massimo 3.500,00 euro; minimo 0,00 euro.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Queste cifre indicano una concentrazione finanziaria significativa sui tre principali fornitori: KYNDRYL assorbe la quota maggiore (41,46%), seguita da IBM (34,15%) e HITACHI (24,39%). Tutti e tre i vendor presentano casi con penali massime pari a 3.500,00 euro, mentre IBM e HITACHI riportano anche eventi senza penale applicata (0,00 euro), suggerendo variabilità nella severità o nella qualificazione delle violazioni.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Pattern operativi e classificazione dei servizi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Nel dataset, i servizi più frequenti sono "Hosting Cloud" (33,33% dei record), "Network Services" e "Database &amp; Storage" (22,22% ciascuno) e "Gestione Sicurezza" (22,22%). Le non conformità sono distribuite come segue: "Minore" 44,44%, "Maggiore" 33,33% e "Nessuna" 22,22%. Questa combinazione evidenzia che, sebbene molte non conformità siano classificate come minori, una porzione rilevante (33,33%) è giudicata di maggiore rilevanza e contribuisce in modo rilevante al valore delle penali.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Implicazioni di business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Esposizione finanziaria concentrata: il 41,5% delle penali complessive è imputabile a KYNDRYL; la concentrazione del rischio finanziario su pochi fornitori richiede attenzione contrattuale e di governance.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Variabilità nella severità degli eventi: la presenza di penali massime comuni a tutti i vendor e di eventi senza penale indica eterogeneità nei casi d'uso e potenziali differenze nell'applicazione delle clausole SLA.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Servizi critici a rischio: la prevalenza di servizi classificati come "Critico" implica un impatto operativo elevato in caso di disservizio e giustifica attenzione prioritaria nel piano di mitigazione.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 e contrattuali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Revisione contrattuale mirata: avviare una revisione delle clausole SLA per KYNDRYL, con l'obiettivo di chiarire metriche, soglie e penali applicabili; valutare incentivi/penalità differenziati per ridurre il rischio finanziario concentrato.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Piano di remediation e monitoraggio: richiedere piani di azione correttiva con milestone documentate per i fornitori che generano la maggior parte delle penali (KYNDRYL, IBM). Implementare reportistica mensile automatizzata su incidenti critici e penali.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Prioritizzazione delle attività tecniche: concentrare audit e test (DR/BCP, procedure di sicurezza) sui servizi classificati come critici e sulle aree con non conformità di tipo "Maggiore".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Meccanismi di mitigazione finanziaria: valutare recuperi economici, escrow o garanzie aggiuntive nei contratti con i vendor più impattanti; considerare la riduzione dell’esposizione tramite diversificazione dei fornitori dove tecnicamente ed economicamente fattibile.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Visualizzazione raccomandata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Si raccomanda una rappresentazione tramite bar chart che confronti per ciascun vendor il totale delle penali (asse Y: euro, asse X: Vendor_Name). Il grafico include etichette con il valore assoluto e la percentuale sul totale (KYNDRYL 41,46%; IBM 34,15%; HITACHI 24,39%) per rendere immediatamente evidente la concentrazione dell’impatto finanziario.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mette in luce un impatto finanziario complessivo di 20.500,00 euro distribuito su tre fornitori, con una concentrazione significativa su KYNDRYL. Per ridurre il rischio finanziario e operativo è necessario un approccio combinato: revisione contrattuale, azioni correttive tracciate e monitoraggio puntuale delle performance sui servizi critici. L’adozione delle raccomandazioni sopra esposte consente di mitigare esposizione e ricorrere a rimedi contrattuali prima che le penali divengano ricorrenti e incrementino il costo complessivo di sourcing.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_20251120_1520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bar_chart_20251120_152048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3 – CAUSE PRINCIPALI DEGLI SCOSTAMENTI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3.1 Distribuzione Dell'Impatto Economico Per Categoria Di Incidente (Pir)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3.1 Distribuzione dell'impatto economico per categoria di incidente (PIR)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dei dati e contesto operativo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Il set di dati analizzato proviene dalla tabella T122RegistroEsternalizzaPIRIncidents e contiene 33 record totali.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Le categorie di incidente registrate sono due: "Altro" (29 record, 87,88%) e "SICUREZZA" (4 record, 12,12%). Questi valori rappresentano la distribuzione delle occorrenze per categoria ma non la distribuzione dell’impatto economico.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Risultati quantitativi rilevanti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Totale record: 33.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Distribuzione per categoria (conteggio e percentuale sul totale):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Altro: 29 record (87,88%)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SICUREZZA: 4 record (12,12%)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Carattere di severità: la colonna Severe riporta "Yes" per tutti i 33 record (100,0%).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Presenza di ROICOntractYN: "No" per 26 record (78,79%), "Yes" per 7 record (21,21%).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Limitazione principale per l’analisi dell’impatto economico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tabella non contiene la colonna FinancialDirectDamageEuro: i tentativi di aggregare importi diretti per categoria producono un errore SQL ("Invalid column name 'FinancialDirectDamageEuro'"). Di conseguenza non è possibile calcolare la distribuzione monetaria reale (totale euro per categoria, percentuale dell’impatto economico complessivo, media e mediana per incidente) a partire esclusivamente da questa tabella.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Implicazioni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Senza il campo degli importi diretti non è possibile produrre il grafico a torta richiesto che rappresenti la quota percentuale dell’impatto economico per categoria. Le analisi disponibili rimangono limitate alla distribuzione per conteggio di eventi e alle variabili descrittive presenti.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per completare l’analisi economica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Integrare la colonna degli importi diretti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Aggiungere alla tabella T122RegistroEsternalizzaPIRIncidents un campo numerico FinancialDirectDamageEuro (tipo DECIMAL o FLOAT) popolato con gli importi per incidente.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Eseguire aggregazioni economiche non appena il campo è disponibile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Esempio di query da eseguire (quando la colonna è presente):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SELECT Categoria_incidente,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COUNT(*) AS cnt,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SUM(FinancialDirectDamageEuro) AS total_euro,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ROUND(100.0 * SUM(FinancialDirectDamageEuro) / SUM(SUM(FinancialDirectDamageEuro)) OVER(), 2) AS pct_euro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FROM T122RegistroEsternalizzaPIRIncidents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GROUP BY Categoria_incidente;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Valutare join con sorgenti esterne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 gli importi sono memorizzati in un’altra tabella (es. tabella finanziaria degli incidenti), eseguire un join per ottenere i valori aggregabili, p.es.: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SELECT t.Categoriaincidente, SUM(f.DamageEuro) AS totaleuro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FROM T122RegistroEsternalizzaPIRIncidents 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JOIN FinancialIncidents f ON t.cdIncid = f.cd_Incid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GROUP BY t.Categoria_incidente;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Pulizia e qualità dei dati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Validare i campi numerici per valori nulli o negativi, imputare o correggere i record storici ove possibile, e stabilire regole chiare per l’attribuzione degli importi a ciascun incidente.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KPI e visualizzazione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KPI da implementare: totale danno diretto (EUR), percentuale di danno per categoria, danno medio per incidente per categoria, numero di incidenti critici con danno &gt; soglia.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Visuale consigliata: grafico a torta che rappresenti la percentuale del totale euro per categoria; etichette con valore assoluto (EUR) e percentuale. Inserire inoltre una tabella di supporto con conteggi e importi per categoria.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 e prossimi passi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L’analisi attuale quantifica la distribuzione degli incidenti per categoria (Altro 87,88%, SICUREZZA 12,12%) ma non può determinare la distribuzione economica a causa della mancanza della colonna FinancialDirectDamageEuro nella tabella analizzata.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Per completare il deliverable "Distribuzione dell'impatto economico per categoria di incidente (PIR)" si raccomanda di integrare o collegare i valori monetari come indicato e di ripetere l’aggregazione con la query proposta; a quel punto sarà possibile produrre il grafico a torta e fornire metriche precise di impatto economico per categoria.</w:t>
      </w:r>
    </w:p>
    <w:p/>
    <w:p/>
    <w:p/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3.2 Tipologie Di Incidente E Tempo Medio Di Ripristino (Severe)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3.2 Tipologie di incidente e tempo medio di ripristino (severe)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dei dati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sezione analizza 8 incidenti classificati come “severe” registrati nella tabella T121RegistroEsternalizzaIncidentsSevere. Tutti gli eventi (8 su 8, 100%) sono etichettati come Incident_Type = “GRAVE” e sono stati notificati tramite il livello di escalation “CdC: Comitato di Crisi” (8 su 8, 100%). L’asset class coinvolta è esclusivamente “Infra” (8 su 8, 100%).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temporale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distribuzione degli incidenti per data di rilevamento mostra una concentrazione temporale: agosto 2024 registra il maggior numero di eventi con 3 incidenti (37,5% del totale). Gli altri mesi con singoli eventi sono: febbraio 2024 (1 evento, 12,5%) e, per il 2023, gennaio, marzo, aprile e luglio (ognuno 1 evento, 12,5%). Questo pattern indica picchi sporadici e un cluster principale in agosto 2024 che richiede attenzione per eventuali fattori stagionali o operativi in quel periodo.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Metriche di ripristino e confronto con RTO/SLA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metrica chiave AvgTimetoRestart(h) presenta i seguenti valori statistici nel campione: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Numero osservazioni: 8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Tempo medio di ripristino: 4,875 ore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Tempo minimo di ripristino: 2,0 ore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Tempo massimo di ripristino: 7,0 ore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Questi valori evidenziano una variabilità significativa: il tempo medio di ripristino (4,875 h) supera sia il Target RTO medio registrato (TargetRTOh = 1,625 h) sia la media degli SLARTO_Hours (3,0 h). In termini operativi ciò si traduce in una media di ripristino superiore di circa 62,5% rispetto all’RTO contrattuale medio (4,875 h vs 3,0 h) e quasi tre volte il Target RTO medio (4,875 h vs 1,625 h). Il massimo osservato di 7,0 ore rappresenta un eccedenza significativa rispetto agli obiettivi contrattuali e impatta la probabilità di non conformità SLA.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Ulteriori indicatori operativi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Tempo medio di gestione attiva dell’incidente (TimeIncidentin_chargeh): 2,225 ore (media su 8 eventi).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SLAResolutionTime_Min media: 67,5 minuti (≈ 1,125 ore).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discrepanza tra AvgTimetoRestarth (4,875 h) e TimeIncidentin_chargeh (2,225 h) suggerisce che una parte sostanziale del tempo totale al ripristino è assorbita da attività non direttamente “in carico” (ad es. attese per componenti, escalation, o coordinamento esterno).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Classificazione per componente e concentrazione del rischio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componente più colpita è “cluster 5 - Data Farm Oracle”, con 5 eventi su 8 (62,5%). Il resto degli incidenti (3 su 8, 37,5%) riguarda “cluster 1 - host legacy”. Questa concentrazione indica un rischio operativo significativo sul cluster Data Farm Oracle che richiede priorità nelle attività di mitigazione e monitoraggio.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Implicazioni di business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Rischio di non conformità SLA: il tempo medio di ripristino (4,875 h) supera la media SLARTOHours (3,0 h), segnalando potenziali violazioni contrattuali e impatti economici/reputazionali.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Concentrazione su infrastrutture critiche: il 62,5% degli eventi riguarda il cluster Data Farm Oracle; un singolo componente o fornitore può generare rischi sistemici se non gestito con azioni correttive.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Variabilità e outlier: il range (2,0–7,0 h) e la differenza tra media e Target RTO suggeriscono la presenza di outlier operativi che meritano root-cause analysis.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 e di reporting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Visualizzazione consigliata: produrre un box plot per AvgTimetoRestart(h) per evidenziare mediana, IQR e outlier (aiuta a identificare casi anomali oltre la media). Il box plot permette di misurare la dispersione e individuare i singoli eventi con tempi di ripristino eccezionalmente lunghi.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Priorità sui cluster critici: focalizzare interventi preventivi e di resilience sul “cluster 5 - Data Farm Oracle” (62,5% degli eventi), incluse revisioni di architettura, test di failover e controlli contrattuali con il vendor.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Verifica SLA e escalation vendor: condurre un’analisi puntuale delle cause che determinano il gap medio di 1,875 ore rispetto all’RTO contrattuale medio (4,875 h − 3,0 h) e aggiornare le penali/obiettivi se necessario.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Miglioramento operativo: introdurre esercitazioni congiunte e playbook per ridurre tempi di coordinamento (attualmente TimeIncidentin_chargeh = 2,225 h) e mirare a ridurre la mediana del tempo di ripristino sotto la soglia SLA di 3,0 h.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Azioni immediate: per i futuri report includere indicatori di conformità (percentuale di incidenti che rispettano SLARTOHours) e il calcolo della mediana/95° percentile del tempo di ripristino per misurare la performance in condizioni estreme.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dei dati severi mostra un tempo medio di ripristino di 4,875 ore su 8 incidenti, con una chiara eccedenza rispetto agli obiettivi RTO e agli SLA medi. La concentrazione degli eventi sul cluster Data Farm Oracle e la variabilità osservata rendono prioritario l’intervento su architettura, processi di escalation e contrattualistica con i vendor. Un box plot della metrica AvgTimetoRestart(h) è lo strumento visuale raccomandato per guidare la successiva root-cause analysis e le azioni correttive.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plot_20251120_1523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box_plot_20251120_152340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4 – PERFORMANCE OPERATIVA E CONFORMITÀ PROCESSI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4.1 Adesione Ai Tempi Di Gestione Ticket Per Servizio Utente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4.1 Adesione ai tempi di gestione ticket per servizio utente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tabella T59EventLogTicketCustoService contiene 10.000 ticket e fornisce un quadro quantitativo consistente sui tempi di presa in carico e di risoluzione. Il tempo medio di risoluzione registrato è pari a 2,2034 unità di tempo (nel dataset indicate come giorni), con un minimo di 0 e un massimo di 5. Il tempo medio di presa in carico è 1,468 giorni. Complessivamente il 55,71% dei ticket viene risolto entro 2 giorni e il 70,88% entro 3 giorni; il 50,96% dei ticket viene preso in carico entro 1 giorno.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Volumi e trend temporale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Nel periodo analizzato la distribuzione mensile mostra variazioni significative: il mese con massimo volume è febbraio 2024 con 1.001 ticket, seguito da marzo (961) e aprile (925). Negli ultimi mesi si osservano 627 ticket a dicembre, 704 a novembre e 810 a ottobre 2024. Questi volumi mensili evidenziano picchi stagionali che possono influenzare la capacità di rispetto degli SLA nei periodi di maggiore domanda.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Performance aggregata sui tempi di gestione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Totale ticket: 10.000.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Tempo medio di risoluzione: 2,2034 giorni (min 0, max 5).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Tempo medio di presa in carico: 1,468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Percentuale ticket risolti ≤2 giorni: 55,71%.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Percentuale ticket risolti ≤3 giorni: 70,88%.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Percentuale ticket presi in carico ≤1 giorno: 50,96%.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Performance per UserServiceL1 (principali evidenze)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Analisi per servizio utente evidenzia differenze operative rilevanti sia in termini di volume che di performance di servizio: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Core Banking (2.280 ticket; 22,8% del totale): tempo medio risoluzione 2,181 giorni; 56,05% dei ticket risolti ≤2 giorni; 70,83% risolti ≤3 giorni; tempo medio presa in carico 1,419 giorni; 53,64% presi in carico ≤1 giorno.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Governance (2.017 ticket; 20,17%): tempo medio risoluzione 2,241 giorni; 54,69% ≤2 giorni; 70,65% ≤3 giorni; presa in carico medio 1,486 giorni; 49,73% presi in carico ≤1 giorno.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Security (1.522 ticket; 15,22%): tempo medio risoluzione 2,158 giorni; 57,88% ≤2 giorni; 72,67% ≤3 giorni; presa in carico medio 1,494 giorni; 50,33% presi in carico ≤1 giorno.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Enterprise Management (1.141 ticket): 54,34% ≤2 giorni; tempo medio risoluzione 2,238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Digital Channels (634 ticket): performance relativa migliore con 58,20% dei ticket risolti ≤2 giorni e 73,66% ≤3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Questi dati mostrano che i servizi a maggiore volume (Core Banking, Governance) assorbono oltre il 40% del totale e presentano livelli di adesione ai tempi di risoluzione leggermente inferiori rispetto alla media in alcuni casi.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Insight operativo e priorità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Priorità di allocazione risorse: Core Banking e Governance rappresentano insieme circa 4.297 ticket (43% del totale). Miglioramenti anche di 5-8 punti percentuali nella quota di ticket risolti ≤2 giorni in questi servizi produce impatti significativi sull’adesione complessiva agli SLA.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2. Efficienza presa in carico: solo il 50,96% dei ticket viene preso in carico entro 1 giorno. Ridurre il tempo medio di presa in carico da 1,468 a ≤1,2 giorni e portare la quota di presa in carico ≤1 giorno al 65% è leva immediata per migliorare i tempi di risoluzione.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3. Servizi con migliore performance: Digital Channels e Security mostrano le quote più alte di risoluzione rapida (58,20% e 57,88% rispettivamente per ≤2 giorni), suggerendo best practice operative da condividere con le altre aree.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4. Variabilità mensile: i picchi di febbraio-marzo e i volumi costantemente elevati nei mesi centrali dell’anno richiedono capacity planning dinamico per non degradare la performance nei periodi di carico.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operative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Implementare un piano di riallocazione temporanea di risorse (shoring interno o squadre “burst”) per Core Banking e Governance nei mesi con picchi storici (febbraio–aprile) per aumentare la quota di ticket risolti ≤2 giorni almeno al 65% su questi servizi.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Introdurre metriche operative di presa in carico (KPI giornalieri) con obiettivo a 30/60/90 giorni: ridurre tempo medio presa in carico da 1,468 a ≤1,2 giorni entro 90 giorni e aumentare la percentuale presa in carico ≤1 giorno al 65% entro 180 giorni.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Analisi qualitativa su ticket non risolti entro 3 giorni (circa 29,12% del totale): identificare cause ricorrenti (complessità, dipendenze esterne, carenza competenze) e creare playbook per tipologie a maggiore frequenza.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Diffondere le pratiche più efficaci di Digital Channels e Security (workflow, automazione, staffing) alle unità con performance inferiori.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 dati mostrano una base solida ma con margini di miglioramento tangibili: intervenire su presa in carico e focalizzare risorse sui servizi ad alto volume consente di migliorare rapidamente l’adesione ai tempi di risoluzione. Obiettivi quantificabili (ad esempio portare la risoluzione ≤2 giorni al 65% sui servizi critici e aumentare al 65% la presa in carico ≤1 giorno) costituiscono target realistici e misurabili per il prossimo trimestre operativo.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0251120_1525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table_20251120_152522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5 – CONFRONTO TARGET CONTRATTUALI VS OBIETTIVI REGISTRATI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/>
    <w:p>
      <w:pPr>
        <w:spacing w:before="240" w:after="120"/>
      </w:pPr>
      <w:r>
        <w:rPr>
          <w:rFonts w:ascii="Calibri" w:hAnsi="Calibri"/>
          <w:b/>
          <w:color w:val="003366"/>
          <w:sz w:val="26"/>
        </w:rPr>
        <w:t>5.1 Livelli Di Servizio Contrattuali (Per Contratto/Servizio)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Sezione 5.1 — Livelli di servizio contrattuali (per contratto/servizio)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Sintesi esecutiva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base dati analizzata comprende 53 contratti registrati nella tabella T112RegistroEsternalizza_Contracts. La durata media contrattuale è di 17,96 mesi e il valore contrattuale passivo totale censito ammonta a 6.505.686 EUR, con una media per contratto di 130.113,72 EUR (50 contratti con valore valorizzato). L’analisi delle metriche SLA evidenzia ampie variazioni: il target medio di disponibilità è 32,00% (minimo 0, massimo 99,95), il tempo medio di risposta è 24,62 minuti (min 0, max 120), il tempo medio di risoluzione è 49,81 minuti (min 0, max 480). Il Recovery Time Objective (RTO) medio è 1,28 ore (min 0, max 8) e il Recovery Point Objective (RPO) medio è 5,28 minuti (min 0, max 30).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Osservazioni quantitative sulle metriche SLA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SLAAvailabilityTarget: media 32,00%, minimo 0% e massimo 99,95%. La presenza di valori a 0 indica contratti senza target di disponibilità formalizzato o con campo non valorizzato.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SLAResponseTime_Min: media 24,62 minuti, estremo superiore 120 minuti.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SLAResolutionTime_Min: media 49,81 minuti, estremo superiore 480 minuti.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SLARTOHours: media 1,28 ore, massimo definito 8 ore.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SLARPOMinutes: media 5,28 minuti, massimo definito 30 minuti.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Queste metriche rivelano una grande variabilità operativa tra i contratti: alcuni servizi sono definiti con obiettivi molto stringenti (es. availability fino a 99,95% e RTO fino a 8 ore), mentre una quota significativa di record non presenta target operativi riportati (valori minimi a 0).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Distribuzione per categorie di servizio e tipologia di asset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Tipologia asset: l’80,64% dei contratti è concentrato su due macro-categorie: "infra" 35 contratti (66,04%) e "app" 18 contratti (33,96%). Questo indica una prevalenza di contratti infrastrutturali rispetto a quelli applicativi.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Descrizione servizio (Descr_1): i tre gruppi principali sono "SW Manutenzioni - Canoni e interventi" (13 contratti, 24,53%), "Attività di gestione ICT, conduzione, application management" (11 contratti, 20,75%) e "SW applicativo - Sviluppi e implementazioni software" (11 contratti, 20,75%). Queste categorie coprono oltre il 65% del portafoglio funzionale.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Trend temporali di attivazione contratti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distribuzione per Data_Contratto mostra attività di sottoscrizione presenti durante tutto l’anno 2024, con i mesi con maggior numero di contratti: aprile (8 contratti, massimo mensile osservato), luglio e febbraio (7 contratti ciascuno). Queste concentrazioni possono guidare l’allocazione stagionale delle verifiche SLA e dei processi di onboarding dei servizi.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Qualità dei dati e rischi di controllo operativo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Penalità SLA: il campo SLAPenaltiesApplicable risulta non popolato (nessuna evidenza numerica), segnalando assenza di informazioni sulle sanzioni contrattuali.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Valori a 0 nelle metriche SLA (availability, response, resolution, RTO, RPO) indicano lacune nella definizione formale dei livelli di servizio per una porzione di contratti.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Tre contratti su 53 risultano privi di valore economico registrato (50 contratti con valore valorizzato), con impatto sulla reportistica finanziaria aggregata.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Implicazioni operative e business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forte eterogeneità dei target SLA e la frequenza di campi non valorizzati generano rischi di governance: difficoltà nel monitoraggio unificato degli SLA, criticità nel calcolo di penali e nella valutazione del rischio operativo.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La prevalenza di asset infrastrutturali (66,04%) richiede attenzione al dimensionamento delle capacità di disaster recovery e di monitoraggio proattivo, data la variabilità di RTO fino a 8 ore.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- Il valore contrattuale medio elevato (130.114 EUR) impone che contratti con target SLA non definiti siano prioritari per un intervento di riallineamento contrattuale e di controllo.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Raccomandazioni concrete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Standardizzare e popolare obbligatoriamente i campi SLA critici (SLAAvailabilityTarget, SLAResponseTimeMin, SLAResolutionTimeMin, SLARTOHours, SLARPOMinutes) per tutti i nuovi contratti e avviare una campagna di aggiornamento dei contratti esistenti.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2. Introdurre la compilazione obbligatoria di SLAPenaltiesApplicable per assicurare capacità di applicare e quantificare eventuali penali; per il portafoglio corrente il campo risulta privo di valori.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3. Prioritizzare la revisione dei contratti con valore economico elevato e senza target di disponibilità formalizzato (considerando che il valore medio è ~130k EUR) per ridurre esposizione finanziaria e operative.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4. Definire una reportistica mensile standardizzata sugli SLA con KPI chiave (availability, MTTR, tempo di risposta, RTO/RPO) consentendo il monitoraggio continuo; si suggerisce di sfruttare i picchi di onboarding contrattuale (aprile, luglio, febbraio) per allineare le risorse di controllo.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5. Implementare un processo di data quality per eliminare valori non significativi (ad esempio zero non validi) e assicurare coerenza dei dati prima dell’utilizzo nelle dashboard operative e nelle decisioni contrattuali.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Conclusione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L’analisi evidenzia un portafoglio contratti di dimensione nominale (53 record) con valori economici significativi e con ampie disomogeneità nella definizione dei livelli di servizio. L’adozione rapida di regole di standardizzazione dei campi SLA e di popolamento obbligatorio delle metriche chiave riduce il rischio operativo e finanziario e consente un monitoraggio efficace delle prestazioni vendor. Implementare le raccomandazioni sopra indicate consente di allineare la governance contrattuale alle esigenze di continuità operativa e controllo dei costi.</w:t>
      </w:r>
    </w:p>
    <w:p/>
    <w:p/>
    <w:p/>
    <w:p/>
    <w:p>
      <w:pPr>
        <w:spacing w:before="240" w:after="160"/>
      </w:pPr>
      <w:r>
        <w:rPr>
          <w:rFonts w:ascii="Calibri" w:hAnsi="Calibri"/>
          <w:b/>
          <w:color w:val="003366"/>
          <w:sz w:val="28"/>
        </w:rPr>
        <w:t>VISUALIZZAZIONI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20251120_1528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sz w:val="20"/>
        </w:rPr>
        <w:t>Figura: table_20251120_152800</w:t>
      </w:r>
    </w:p>
    <w:p>
      <w:r>
        <w:br w:type="page"/>
      </w:r>
    </w:p>
    <w:p>
      <w:pPr>
        <w:spacing w:before="360" w:after="240"/>
      </w:pPr>
      <w:r>
        <w:rPr>
          <w:rFonts w:ascii="Calibri" w:hAnsi="Calibri"/>
          <w:b/>
          <w:color w:val="003366"/>
          <w:sz w:val="32"/>
        </w:rPr>
        <w:t>SEZIONE 6 – RACCOMANDAZIONI SINTETICHE (BRIEF)</w:t>
      </w:r>
    </w:p>
    <w:p>
      <w:pPr>
        <w:spacing w:after="240"/>
      </w:pPr>
      <w:r>
        <w:rPr>
          <w:color w:val="003366"/>
        </w:rPr>
        <w:t>________________________________________________________________________________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Brevi indicazioni operative: priorità di intervento sui vendor con maggior valore penali, azioni correttive sulle categorie di incidente con maggiore impatto finanziario, rafforzamento dei processi di ticketing per i servizi più critici.</w:t>
      </w:r>
    </w:p>
    <w:p/>
    <w:p>
      <w:pPr>
        <w:spacing w:after="120" w:line="276" w:lineRule="auto"/>
      </w:pPr>
      <w:r>
        <w:rPr>
          <w:rFonts w:ascii="Calibri" w:hAnsi="Calibri"/>
          <w:sz w:val="22"/>
        </w:rPr>
        <w:t>(Per ogni visualizzazione: applicare filtro temporale 2023-2024; in fase di costruzione dei grafici si suggerisce di aggregare dati per mese/trimestre per tabelle temporali e di normalizzare valute/tempi se necessario.)</w:t>
      </w:r>
    </w:p>
    <w:p/>
    <w:p/>
    <w:p>
      <w:r>
        <w:br w:type="page"/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