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695E" w14:textId="614200A4" w:rsidR="00144141" w:rsidRPr="001F622D" w:rsidRDefault="00000000" w:rsidP="00F24A23">
      <w:pPr>
        <w:spacing w:line="240" w:lineRule="auto"/>
        <w:rPr>
          <w:rFonts w:ascii="Arial" w:hAnsi="Arial"/>
          <w:b/>
          <w:color w:val="003366"/>
          <w:sz w:val="36"/>
          <w:szCs w:val="16"/>
          <w:lang w:val="it"/>
        </w:rPr>
      </w:pPr>
      <w:r w:rsidRPr="001F622D">
        <w:rPr>
          <w:rFonts w:ascii="Arial" w:hAnsi="Arial"/>
          <w:b/>
          <w:color w:val="003366"/>
          <w:sz w:val="36"/>
          <w:szCs w:val="16"/>
          <w:lang w:val="it"/>
        </w:rPr>
        <w:t xml:space="preserve">RAPPORTO di </w:t>
      </w:r>
      <w:r w:rsidR="00E2515C">
        <w:rPr>
          <w:rFonts w:ascii="Arial" w:hAnsi="Arial"/>
          <w:b/>
          <w:color w:val="003366"/>
          <w:sz w:val="36"/>
          <w:szCs w:val="16"/>
          <w:lang w:val="it"/>
        </w:rPr>
        <w:t>C</w:t>
      </w:r>
      <w:r w:rsidRPr="001F622D">
        <w:rPr>
          <w:rFonts w:ascii="Arial" w:hAnsi="Arial"/>
          <w:b/>
          <w:color w:val="003366"/>
          <w:sz w:val="36"/>
          <w:szCs w:val="16"/>
          <w:lang w:val="it"/>
        </w:rPr>
        <w:t>ompliance ICT – PROCEDURA INCIDENTI</w:t>
      </w:r>
      <w:r w:rsidR="00E2515C">
        <w:rPr>
          <w:rFonts w:ascii="Arial" w:hAnsi="Arial"/>
          <w:b/>
          <w:color w:val="003366"/>
          <w:sz w:val="36"/>
          <w:szCs w:val="16"/>
          <w:lang w:val="it"/>
        </w:rPr>
        <w:t xml:space="preserve"> / DORA</w:t>
      </w:r>
    </w:p>
    <w:p w14:paraId="7EE0FA02" w14:textId="197772E8" w:rsidR="00144141" w:rsidRPr="00E2515C" w:rsidRDefault="00000000" w:rsidP="00F24A23">
      <w:pPr>
        <w:spacing w:after="0" w:line="240" w:lineRule="auto"/>
      </w:pPr>
      <w:r w:rsidRPr="00E2515C">
        <w:t xml:space="preserve">Banca Contoso – </w:t>
      </w:r>
      <w:proofErr w:type="spellStart"/>
      <w:r w:rsidRPr="00E2515C">
        <w:t>Ambito</w:t>
      </w:r>
      <w:proofErr w:type="spellEnd"/>
      <w:r w:rsidRPr="00E2515C">
        <w:t>: ICT Incident &amp; Problem Management – Fonte scoring: ONTOSCOREICT_ALL (topic filtrato).</w:t>
      </w:r>
    </w:p>
    <w:p w14:paraId="17E42E24" w14:textId="77777777" w:rsidR="00144141" w:rsidRPr="005852C6" w:rsidRDefault="00000000" w:rsidP="00F24A23">
      <w:pPr>
        <w:pStyle w:val="Titolo1"/>
        <w:spacing w:line="240" w:lineRule="auto"/>
        <w:rPr>
          <w:lang w:val="it-IT"/>
        </w:rPr>
      </w:pPr>
      <w:r w:rsidRPr="005852C6">
        <w:rPr>
          <w:lang w:val="it-IT"/>
        </w:rPr>
        <w:t>1) Normative e articoli che generano la necessità del Rapporto</w:t>
      </w:r>
    </w:p>
    <w:p w14:paraId="27CAE808" w14:textId="77777777" w:rsidR="00144141" w:rsidRPr="00C133CC" w:rsidRDefault="00000000" w:rsidP="00F24A23">
      <w:pPr>
        <w:spacing w:after="0" w:line="240" w:lineRule="auto"/>
        <w:rPr>
          <w:highlight w:val="cyan"/>
          <w:lang w:val="it-IT"/>
        </w:rPr>
      </w:pPr>
      <w:r w:rsidRPr="005852C6">
        <w:rPr>
          <w:lang w:val="it-IT"/>
        </w:rPr>
        <w:t>• Regolamento (UE</w:t>
      </w:r>
      <w:r w:rsidRPr="00C133CC">
        <w:rPr>
          <w:highlight w:val="cyan"/>
          <w:lang w:val="it-IT"/>
        </w:rPr>
        <w:t>) 2022/2554 – DORA: Art. 18 (classificazione incidenti gravi), Art. 19 (notifica iniziale/intermedia/finale), Art. 20 (modelli/tempi armonizzati), Art. 11 (risposta/ripristino e comunicazioni).</w:t>
      </w:r>
    </w:p>
    <w:p w14:paraId="2E34434A" w14:textId="77777777" w:rsidR="00144141" w:rsidRPr="005852C6" w:rsidRDefault="00000000" w:rsidP="00F24A23">
      <w:pPr>
        <w:spacing w:after="0" w:line="240" w:lineRule="auto"/>
        <w:rPr>
          <w:lang w:val="it-IT"/>
        </w:rPr>
      </w:pPr>
      <w:r w:rsidRPr="00C133CC">
        <w:rPr>
          <w:highlight w:val="cyan"/>
          <w:lang w:val="it-IT"/>
        </w:rPr>
        <w:t>• Banca d’Italia – Circolare 285: Continuità</w:t>
      </w:r>
      <w:r w:rsidRPr="005852C6">
        <w:rPr>
          <w:lang w:val="it-IT"/>
        </w:rPr>
        <w:t xml:space="preserve"> operativa (comunicazioni post-evento a Autorità), Dati &amp; reporting (qualità/completezza/tempestività), ICT audit (copertura processi/fornitori).</w:t>
      </w:r>
    </w:p>
    <w:p w14:paraId="668969D6" w14:textId="5A0FC9B9" w:rsidR="00144141" w:rsidRPr="005852C6" w:rsidRDefault="00000000" w:rsidP="00F24A23">
      <w:pPr>
        <w:spacing w:after="0" w:line="240" w:lineRule="auto"/>
        <w:rPr>
          <w:lang w:val="it-IT"/>
        </w:rPr>
      </w:pPr>
      <w:r w:rsidRPr="005852C6">
        <w:rPr>
          <w:lang w:val="it-IT"/>
        </w:rPr>
        <w:t xml:space="preserve">• Normativa interna: </w:t>
      </w:r>
      <w:r w:rsidRPr="00C133CC">
        <w:rPr>
          <w:highlight w:val="yellow"/>
          <w:lang w:val="it-IT"/>
        </w:rPr>
        <w:t>CONTOSO-PROCEDURA INCIDENTI V01; CONTOSO – REGOLAMENTO FUNZIONIGRAMMA ICT V01.</w:t>
      </w:r>
    </w:p>
    <w:p w14:paraId="56E6B950" w14:textId="77777777" w:rsidR="00144141" w:rsidRPr="005852C6" w:rsidRDefault="00000000" w:rsidP="00F24A23">
      <w:pPr>
        <w:pStyle w:val="Titolo1"/>
        <w:spacing w:line="240" w:lineRule="auto"/>
        <w:rPr>
          <w:lang w:val="it-IT"/>
        </w:rPr>
      </w:pPr>
      <w:r w:rsidRPr="005852C6">
        <w:rPr>
          <w:lang w:val="it-IT"/>
        </w:rPr>
        <w:t>2) Sintesi dei gap per subtopic (in ordine decrescente di gravità)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916"/>
        <w:gridCol w:w="4966"/>
        <w:gridCol w:w="872"/>
        <w:gridCol w:w="3527"/>
        <w:gridCol w:w="704"/>
      </w:tblGrid>
      <w:tr w:rsidR="00144141" w:rsidRPr="005852C6" w14:paraId="74A6B1E7" w14:textId="77777777" w:rsidTr="00575E99">
        <w:trPr>
          <w:tblHeader/>
        </w:trPr>
        <w:tc>
          <w:tcPr>
            <w:tcW w:w="1440" w:type="dxa"/>
            <w:shd w:val="clear" w:color="auto" w:fill="F2F2F2" w:themeFill="background1" w:themeFillShade="F2"/>
          </w:tcPr>
          <w:p w14:paraId="6C601C15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Area</w:t>
            </w:r>
          </w:p>
        </w:tc>
        <w:tc>
          <w:tcPr>
            <w:tcW w:w="2916" w:type="dxa"/>
            <w:shd w:val="clear" w:color="auto" w:fill="F2F2F2" w:themeFill="background1" w:themeFillShade="F2"/>
          </w:tcPr>
          <w:p w14:paraId="3E2252A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Copertura in procedura</w:t>
            </w:r>
          </w:p>
        </w:tc>
        <w:tc>
          <w:tcPr>
            <w:tcW w:w="4966" w:type="dxa"/>
            <w:shd w:val="clear" w:color="auto" w:fill="F2F2F2" w:themeFill="background1" w:themeFillShade="F2"/>
          </w:tcPr>
          <w:p w14:paraId="45C9C8C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Gap sintetico</w:t>
            </w:r>
          </w:p>
        </w:tc>
        <w:tc>
          <w:tcPr>
            <w:tcW w:w="872" w:type="dxa"/>
            <w:shd w:val="clear" w:color="auto" w:fill="F2F2F2" w:themeFill="background1" w:themeFillShade="F2"/>
          </w:tcPr>
          <w:p w14:paraId="69285AA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Severità del gap</w:t>
            </w:r>
          </w:p>
        </w:tc>
        <w:tc>
          <w:tcPr>
            <w:tcW w:w="3527" w:type="dxa"/>
            <w:shd w:val="clear" w:color="auto" w:fill="F2F2F2" w:themeFill="background1" w:themeFillShade="F2"/>
          </w:tcPr>
          <w:p w14:paraId="4C2A82C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Azioni chiave da produrre</w:t>
            </w:r>
          </w:p>
        </w:tc>
        <w:tc>
          <w:tcPr>
            <w:tcW w:w="704" w:type="dxa"/>
            <w:shd w:val="clear" w:color="auto" w:fill="F2F2F2" w:themeFill="background1" w:themeFillShade="F2"/>
          </w:tcPr>
          <w:p w14:paraId="15E7B20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Totale del gap</w:t>
            </w:r>
          </w:p>
        </w:tc>
      </w:tr>
      <w:tr w:rsidR="00144141" w:rsidRPr="005852C6" w14:paraId="6B79D820" w14:textId="77777777" w:rsidTr="005852C6">
        <w:tc>
          <w:tcPr>
            <w:tcW w:w="1440" w:type="dxa"/>
          </w:tcPr>
          <w:p w14:paraId="3A03DD8F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2916" w:type="dxa"/>
          </w:tcPr>
          <w:p w14:paraId="41578D7E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Valutazione gravità congiunta, registrazione su registro incident, segnalazione a Bankit per casi gravi, attivazione BCM/Comitato crisi, analisi periodiche/Problem Mgmt.</w:t>
            </w:r>
          </w:p>
        </w:tc>
        <w:tc>
          <w:tcPr>
            <w:tcW w:w="4966" w:type="dxa"/>
          </w:tcPr>
          <w:p w14:paraId="56DBECBE" w14:textId="41AE50E6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Gap medio 33.0% su 9 presc.; principali: L'entità soggetta a BDI 285 deve assicurare conformità su «ICT Incident &amp; Problem Management / Escalation e gestione incidenti gravi», implementando: </w:t>
            </w:r>
          </w:p>
        </w:tc>
        <w:tc>
          <w:tcPr>
            <w:tcW w:w="872" w:type="dxa"/>
          </w:tcPr>
          <w:p w14:paraId="4E162A49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ALTO</w:t>
            </w:r>
          </w:p>
        </w:tc>
        <w:tc>
          <w:tcPr>
            <w:tcW w:w="3527" w:type="dxa"/>
          </w:tcPr>
          <w:p w14:paraId="436116A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timeline multi-stadio (pre-notice/initial/interim/final) con SLA e contenuti minimi; PIR obbligatoria per major; KPI/KRI MTTR, %RT&gt;RTO con soglie ed escalation; mapping tassonomia incidenti con standard esterni.</w:t>
            </w:r>
          </w:p>
        </w:tc>
        <w:tc>
          <w:tcPr>
            <w:tcW w:w="704" w:type="dxa"/>
          </w:tcPr>
          <w:p w14:paraId="7EADC55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297.0</w:t>
            </w:r>
          </w:p>
        </w:tc>
      </w:tr>
      <w:tr w:rsidR="00144141" w:rsidRPr="005852C6" w14:paraId="6BFC2E04" w14:textId="77777777" w:rsidTr="005852C6">
        <w:tc>
          <w:tcPr>
            <w:tcW w:w="1440" w:type="dxa"/>
          </w:tcPr>
          <w:p w14:paraId="3C654554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Classificazione e registrazione incidenti</w:t>
            </w:r>
          </w:p>
        </w:tc>
        <w:tc>
          <w:tcPr>
            <w:tcW w:w="2916" w:type="dxa"/>
          </w:tcPr>
          <w:p w14:paraId="14216B2E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Valutazione gravità congiunta, registrazione su registro incident, segnalazione a Bankit per casi gravi, attivazione BCM/Comitato crisi, analisi periodiche/Problem Mgmt.</w:t>
            </w:r>
          </w:p>
        </w:tc>
        <w:tc>
          <w:tcPr>
            <w:tcW w:w="4966" w:type="dxa"/>
          </w:tcPr>
          <w:p w14:paraId="61197802" w14:textId="3E93A85A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Gap medio 49.7% su 3 presc.; principali: L'entità soggetta a BDI 285 deve assicurare conformità su «ICT Incident &amp; Problem Management / Classificazione e registrazione incidenti», implementando: </w:t>
            </w:r>
          </w:p>
        </w:tc>
        <w:tc>
          <w:tcPr>
            <w:tcW w:w="872" w:type="dxa"/>
          </w:tcPr>
          <w:p w14:paraId="291DDCB0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CRITICO</w:t>
            </w:r>
          </w:p>
        </w:tc>
        <w:tc>
          <w:tcPr>
            <w:tcW w:w="3527" w:type="dxa"/>
          </w:tcPr>
          <w:p w14:paraId="79A81E5B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Formalizzare flussi e SLA di reporting verso vigilanza; PIR obbligatoria; KPI/KRI; tassonomia allineata; integrazione vendor.</w:t>
            </w:r>
          </w:p>
        </w:tc>
        <w:tc>
          <w:tcPr>
            <w:tcW w:w="704" w:type="dxa"/>
          </w:tcPr>
          <w:p w14:paraId="41A181C5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149.0</w:t>
            </w:r>
          </w:p>
        </w:tc>
      </w:tr>
      <w:tr w:rsidR="00144141" w:rsidRPr="005852C6" w14:paraId="2D500E84" w14:textId="77777777" w:rsidTr="005852C6">
        <w:tc>
          <w:tcPr>
            <w:tcW w:w="1440" w:type="dxa"/>
          </w:tcPr>
          <w:p w14:paraId="447E4C49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Problem management / post-mortem</w:t>
            </w:r>
          </w:p>
        </w:tc>
        <w:tc>
          <w:tcPr>
            <w:tcW w:w="2916" w:type="dxa"/>
          </w:tcPr>
          <w:p w14:paraId="3C4157A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Valutazione gravità congiunta, registrazione su registro incident, segnalazione a Bankit per casi gravi, attivazione BCM/Comitato crisi, analisi periodiche/Problem Mgmt.</w:t>
            </w:r>
          </w:p>
        </w:tc>
        <w:tc>
          <w:tcPr>
            <w:tcW w:w="4966" w:type="dxa"/>
          </w:tcPr>
          <w:p w14:paraId="31CD4271" w14:textId="53780639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Gap medio 48.5% su 2 presc.; principali: L'entità soggetta a BDI 285 deve assicurare conformità su «ICT Incident &amp; Problem Management / Problem management / post-mortem», implementando: Tipologie di esternalizzazione </w:t>
            </w:r>
          </w:p>
        </w:tc>
        <w:tc>
          <w:tcPr>
            <w:tcW w:w="872" w:type="dxa"/>
          </w:tcPr>
          <w:p w14:paraId="2A7AC48A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CRITICO</w:t>
            </w:r>
          </w:p>
        </w:tc>
        <w:tc>
          <w:tcPr>
            <w:tcW w:w="3527" w:type="dxa"/>
          </w:tcPr>
          <w:p w14:paraId="42D2B3A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Formalizzare flussi e SLA di reporting verso vigilanza; PIR obbligatoria; KPI/KRI; tassonomia allineata; integrazione vendor.</w:t>
            </w:r>
          </w:p>
        </w:tc>
        <w:tc>
          <w:tcPr>
            <w:tcW w:w="704" w:type="dxa"/>
          </w:tcPr>
          <w:p w14:paraId="2842FF7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97.0</w:t>
            </w:r>
          </w:p>
        </w:tc>
      </w:tr>
    </w:tbl>
    <w:p w14:paraId="7349A8F4" w14:textId="1948B28E" w:rsidR="00144141" w:rsidRDefault="00000000">
      <w:pPr>
        <w:pStyle w:val="Titolo1"/>
        <w:rPr>
          <w:lang w:val="it-IT"/>
        </w:rPr>
      </w:pPr>
      <w:r w:rsidRPr="005852C6">
        <w:rPr>
          <w:lang w:val="it-IT"/>
        </w:rPr>
        <w:lastRenderedPageBreak/>
        <w:t>3) Citazioni DORA e 285 con punteggio, GAP descritto e azioni di rimedio</w:t>
      </w:r>
    </w:p>
    <w:p w14:paraId="2ECC756C" w14:textId="77777777" w:rsidR="005852C6" w:rsidRPr="005852C6" w:rsidRDefault="005852C6" w:rsidP="005852C6">
      <w:pPr>
        <w:rPr>
          <w:lang w:val="it-IT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362"/>
        <w:gridCol w:w="4842"/>
        <w:gridCol w:w="3284"/>
        <w:gridCol w:w="1132"/>
        <w:gridCol w:w="806"/>
        <w:gridCol w:w="2410"/>
      </w:tblGrid>
      <w:tr w:rsidR="00144141" w:rsidRPr="005852C6" w14:paraId="0D9A2A08" w14:textId="77777777" w:rsidTr="00E2515C">
        <w:trPr>
          <w:tblHeader/>
        </w:trPr>
        <w:tc>
          <w:tcPr>
            <w:tcW w:w="1156" w:type="dxa"/>
            <w:shd w:val="clear" w:color="auto" w:fill="F2F2F2" w:themeFill="background1" w:themeFillShade="F2"/>
          </w:tcPr>
          <w:p w14:paraId="6BE3920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normativa</w:t>
            </w:r>
          </w:p>
        </w:tc>
        <w:tc>
          <w:tcPr>
            <w:tcW w:w="1362" w:type="dxa"/>
            <w:shd w:val="clear" w:color="auto" w:fill="F2F2F2" w:themeFill="background1" w:themeFillShade="F2"/>
          </w:tcPr>
          <w:p w14:paraId="1465D3EA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subtopic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217F627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citazione_rifrasata</w:t>
            </w:r>
          </w:p>
        </w:tc>
        <w:tc>
          <w:tcPr>
            <w:tcW w:w="3284" w:type="dxa"/>
            <w:shd w:val="clear" w:color="auto" w:fill="F2F2F2" w:themeFill="background1" w:themeFillShade="F2"/>
          </w:tcPr>
          <w:p w14:paraId="2EF2553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gap_descrizione</w:t>
            </w:r>
          </w:p>
        </w:tc>
        <w:tc>
          <w:tcPr>
            <w:tcW w:w="1132" w:type="dxa"/>
            <w:shd w:val="clear" w:color="auto" w:fill="F2F2F2" w:themeFill="background1" w:themeFillShade="F2"/>
          </w:tcPr>
          <w:p w14:paraId="21BCDA5B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punteggio</w:t>
            </w:r>
          </w:p>
        </w:tc>
        <w:tc>
          <w:tcPr>
            <w:tcW w:w="806" w:type="dxa"/>
            <w:shd w:val="clear" w:color="auto" w:fill="F2F2F2" w:themeFill="background1" w:themeFillShade="F2"/>
          </w:tcPr>
          <w:p w14:paraId="65119CB0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gap_%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FB4FEA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azione_rimedio</w:t>
            </w:r>
          </w:p>
        </w:tc>
      </w:tr>
      <w:tr w:rsidR="00144141" w:rsidRPr="00F24A23" w14:paraId="4DA6BC57" w14:textId="77777777" w:rsidTr="00E2515C">
        <w:tc>
          <w:tcPr>
            <w:tcW w:w="1156" w:type="dxa"/>
          </w:tcPr>
          <w:p w14:paraId="6E4B34F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563BF38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Classificazione e registrazione incidenti</w:t>
            </w:r>
          </w:p>
        </w:tc>
        <w:tc>
          <w:tcPr>
            <w:tcW w:w="4842" w:type="dxa"/>
          </w:tcPr>
          <w:p w14:paraId="54FB1999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L'entità soggetta a BDI 285 deve assicurare conformità su «ICT Incident &amp; Problem Management / Classificazione e registrazione incidenti», implementando: Le procedure di aggregazione dei dati a fini di valutazione dei rischi aziendali sono sottoposte a validazione indipendente (ad es., da parte dell’internal audit). (3) La qualità dei dati è valutata, in termini di completezza (registrazione di tutti gli eventi, operazioni e informazioni con i pertinenti attributi necessari per le elaborazioni), di accuratezza (assenza di distorsione nei processi di registrazione, raccolta e di successivo trattamento dei dati) e di tempestività.</w:t>
            </w:r>
          </w:p>
        </w:tc>
        <w:tc>
          <w:tcPr>
            <w:tcW w:w="3284" w:type="dxa"/>
          </w:tcPr>
          <w:p w14:paraId="4011F752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Controlli di qualità/completezza/tempestività dei dati di reporting incidenti non formalizzati (controlli di qualità dati non esplicitamente normati nella procedura incidenti).</w:t>
            </w:r>
          </w:p>
        </w:tc>
        <w:tc>
          <w:tcPr>
            <w:tcW w:w="1132" w:type="dxa"/>
          </w:tcPr>
          <w:p w14:paraId="0C49DE7B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48</w:t>
            </w:r>
          </w:p>
        </w:tc>
        <w:tc>
          <w:tcPr>
            <w:tcW w:w="806" w:type="dxa"/>
          </w:tcPr>
          <w:p w14:paraId="08E8D86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52</w:t>
            </w:r>
          </w:p>
        </w:tc>
        <w:tc>
          <w:tcPr>
            <w:tcW w:w="2410" w:type="dxa"/>
          </w:tcPr>
          <w:p w14:paraId="67C3628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KPI/KRI (MTTD/MTTR, %RT&gt;RTO), tassonomia e flussi standardizzati; integrazione con BCM e vendor, audit trail completo.</w:t>
            </w:r>
          </w:p>
        </w:tc>
      </w:tr>
      <w:tr w:rsidR="00144141" w:rsidRPr="00F24A23" w14:paraId="5BFAC0FC" w14:textId="77777777" w:rsidTr="00E2515C">
        <w:tc>
          <w:tcPr>
            <w:tcW w:w="1156" w:type="dxa"/>
          </w:tcPr>
          <w:p w14:paraId="1094286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1EDEC63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Classificazione e registrazione incidenti</w:t>
            </w:r>
          </w:p>
        </w:tc>
        <w:tc>
          <w:tcPr>
            <w:tcW w:w="4842" w:type="dxa"/>
          </w:tcPr>
          <w:p w14:paraId="636815A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Classificazione e registrazione incidenti», implementando: Tipologie di esternalizzazione L’esternalizzazione delle risorse e servizi ICT può assumere diverse forme a seconda del modello architetturale adottato: dall’outsourcing verticale (relativo a determinati processi operativi) all’outsourcing orizzontale di servizi trasversali come la gestione degli apparati hardware (facility management), lo sviluppo e la gestione del parco applicativo (application management), i collegamenti di rete, l’help desk tecnico e gli interventi di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rip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2B13C5C5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PIR/lessons learned non rese obbligatorie con scadenze e deliverable minimi per ogni major incident.</w:t>
            </w:r>
          </w:p>
        </w:tc>
        <w:tc>
          <w:tcPr>
            <w:tcW w:w="1132" w:type="dxa"/>
          </w:tcPr>
          <w:p w14:paraId="3096D415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49</w:t>
            </w:r>
          </w:p>
        </w:tc>
        <w:tc>
          <w:tcPr>
            <w:tcW w:w="806" w:type="dxa"/>
          </w:tcPr>
          <w:p w14:paraId="2553085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51</w:t>
            </w:r>
          </w:p>
        </w:tc>
        <w:tc>
          <w:tcPr>
            <w:tcW w:w="2410" w:type="dxa"/>
          </w:tcPr>
          <w:p w14:paraId="7D73BBDB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KPI/KRI (MTTD/MTTR, %RT&gt;RTO), tassonomia e flussi standardizzati; integrazione con BCM e vendor, audit trail completo.</w:t>
            </w:r>
          </w:p>
        </w:tc>
      </w:tr>
      <w:tr w:rsidR="00144141" w:rsidRPr="00F24A23" w14:paraId="47A9FC57" w14:textId="77777777" w:rsidTr="00E2515C">
        <w:tc>
          <w:tcPr>
            <w:tcW w:w="1156" w:type="dxa"/>
          </w:tcPr>
          <w:p w14:paraId="3DCA6A4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195BDA65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Problem management / post-mortem</w:t>
            </w:r>
          </w:p>
        </w:tc>
        <w:tc>
          <w:tcPr>
            <w:tcW w:w="4842" w:type="dxa"/>
          </w:tcPr>
          <w:p w14:paraId="73D61BC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Problem management / post-mortem», implementando: Tipologie di esternalizzazione L’esternalizzazione delle risorse e servizi ICT può assumere diverse forme a seconda del modello architetturale adottato: dall’outsourcing verticale (relativo a determinati processi operativi) all’outsourcing orizzontale di servizi trasversali come la gestione degli apparati hardware (facility management), lo sviluppo e la gestione del parco applicativo (application management), i </w:t>
            </w:r>
            <w:r w:rsidRPr="005852C6">
              <w:rPr>
                <w:sz w:val="18"/>
                <w:szCs w:val="18"/>
                <w:lang w:val="it-IT"/>
              </w:rPr>
              <w:lastRenderedPageBreak/>
              <w:t xml:space="preserve">collegamenti di rete, l’help desk tecnico e gli interventi di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rip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77F5496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lastRenderedPageBreak/>
              <w:t>PIR/lessons learned non rese obbligatorie con scadenze e deliverable minimi per ogni major incident.</w:t>
            </w:r>
          </w:p>
        </w:tc>
        <w:tc>
          <w:tcPr>
            <w:tcW w:w="1132" w:type="dxa"/>
          </w:tcPr>
          <w:p w14:paraId="180E14FE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49</w:t>
            </w:r>
          </w:p>
        </w:tc>
        <w:tc>
          <w:tcPr>
            <w:tcW w:w="806" w:type="dxa"/>
          </w:tcPr>
          <w:p w14:paraId="6F4811A3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51</w:t>
            </w:r>
          </w:p>
        </w:tc>
        <w:tc>
          <w:tcPr>
            <w:tcW w:w="2410" w:type="dxa"/>
          </w:tcPr>
          <w:p w14:paraId="3AD9915A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KPI/KRI (MTTD/MTTR, %RT&gt;RTO), tassonomia e flussi standardizzati; integrazione con BCM e vendor, audit trail completo.</w:t>
            </w:r>
          </w:p>
        </w:tc>
      </w:tr>
      <w:tr w:rsidR="00144141" w:rsidRPr="00F24A23" w14:paraId="21BD68FF" w14:textId="77777777" w:rsidTr="00E2515C">
        <w:tc>
          <w:tcPr>
            <w:tcW w:w="1156" w:type="dxa"/>
          </w:tcPr>
          <w:p w14:paraId="5F427CDB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lastRenderedPageBreak/>
              <w:t>BDI 285</w:t>
            </w:r>
          </w:p>
        </w:tc>
        <w:tc>
          <w:tcPr>
            <w:tcW w:w="1362" w:type="dxa"/>
          </w:tcPr>
          <w:p w14:paraId="14BCC2F1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288F41D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L'entità soggetta a BDI 285 deve assicurare conformità su «ICT Incident &amp; Problem Management / Escalation e gestione incidenti gravi», implementando: La gestione degli incidenti di sicurezza informatica La gestione degli incidenti di sicurezza informatica segue procedure formalmente definite, con l’obiettivo di minimizzarne l’impatto e garantire il tempestivo ripristino del regolare funzionamento dei servizi e delle risorse ICT coinvolti. Le funzioni a cui comunicare l’incidente sono individuate secondo un’opportuna procedura di escalation; i casi più gravi che comportino rischi di interruzione della continuità operativa s …</w:t>
            </w:r>
          </w:p>
        </w:tc>
        <w:tc>
          <w:tcPr>
            <w:tcW w:w="3284" w:type="dxa"/>
          </w:tcPr>
          <w:p w14:paraId="1ADC8D2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Flusso post-evento verso l’Autorità non incardinato con SLA/tempi/ruoli e contenuti minimi.</w:t>
            </w:r>
          </w:p>
        </w:tc>
        <w:tc>
          <w:tcPr>
            <w:tcW w:w="1132" w:type="dxa"/>
          </w:tcPr>
          <w:p w14:paraId="1A1EBFD2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51</w:t>
            </w:r>
          </w:p>
        </w:tc>
        <w:tc>
          <w:tcPr>
            <w:tcW w:w="806" w:type="dxa"/>
          </w:tcPr>
          <w:p w14:paraId="28B1A1C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49</w:t>
            </w:r>
          </w:p>
        </w:tc>
        <w:tc>
          <w:tcPr>
            <w:tcW w:w="2410" w:type="dxa"/>
          </w:tcPr>
          <w:p w14:paraId="4198E607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2C544F10" w14:textId="77777777" w:rsidTr="00E2515C">
        <w:tc>
          <w:tcPr>
            <w:tcW w:w="1156" w:type="dxa"/>
          </w:tcPr>
          <w:p w14:paraId="7A71B8E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77D0686F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114372C6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Escalation e gestione incidenti gravi», implementando: 6. La gestione degli incidenti di sicurezza informatica La gestione degli incidenti di sicurezza informatica segue procedure formalmente definite, con l’obiettivo di minimizzarne l’impatto e garantire il tempestivo ripristino del regolare funzionamento dei servizi e delle risorse ICT coinvolti. Le funzioni a cui comunicare l’incidente sono individuate secondo un’opportuna procedura di escalation; i casi più gravi che comportino rischi di interruzione della continuità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operativ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6396C09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Flusso post-evento verso l’Autorità non incardinato con SLA/tempi/ruoli e contenuti minimi.</w:t>
            </w:r>
          </w:p>
        </w:tc>
        <w:tc>
          <w:tcPr>
            <w:tcW w:w="1132" w:type="dxa"/>
          </w:tcPr>
          <w:p w14:paraId="29663BB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51</w:t>
            </w:r>
          </w:p>
        </w:tc>
        <w:tc>
          <w:tcPr>
            <w:tcW w:w="806" w:type="dxa"/>
          </w:tcPr>
          <w:p w14:paraId="520DA86E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49</w:t>
            </w:r>
          </w:p>
        </w:tc>
        <w:tc>
          <w:tcPr>
            <w:tcW w:w="2410" w:type="dxa"/>
          </w:tcPr>
          <w:p w14:paraId="710372B4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429F5F69" w14:textId="77777777" w:rsidTr="00E2515C">
        <w:tc>
          <w:tcPr>
            <w:tcW w:w="1156" w:type="dxa"/>
          </w:tcPr>
          <w:p w14:paraId="3969F36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30AB810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3E827FE7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Escalation e gestione incidenti gravi», implementando: Sezione III), l’evoluzione delle minacce connesse con l’utilizzo di ICT nonché gli incidenti registratisi nel periodo di riferimento; - monitora il regolare svolgimento dei processi di gestione e di controllo dei servizi ICT e, a fronte di anomalie rilevate, pone in atto opportune azioni correttive; - assume decisioni tempestive in merito a gravi incidenti di sicurezza informatica (cfr. Sezione IV) e fornisce informazioni </w:t>
            </w:r>
            <w:r w:rsidRPr="005852C6">
              <w:rPr>
                <w:sz w:val="18"/>
                <w:szCs w:val="18"/>
                <w:lang w:val="it-IT"/>
              </w:rPr>
              <w:lastRenderedPageBreak/>
              <w:t>all’organo con funzione di supervisione strategica in …</w:t>
            </w:r>
          </w:p>
        </w:tc>
        <w:tc>
          <w:tcPr>
            <w:tcW w:w="3284" w:type="dxa"/>
          </w:tcPr>
          <w:p w14:paraId="2F7192E4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lastRenderedPageBreak/>
              <w:t>PIR/lessons learned non rese obbligatorie con scadenze e deliverable minimi per ogni major incident.</w:t>
            </w:r>
          </w:p>
        </w:tc>
        <w:tc>
          <w:tcPr>
            <w:tcW w:w="1132" w:type="dxa"/>
          </w:tcPr>
          <w:p w14:paraId="331D03BB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52</w:t>
            </w:r>
          </w:p>
        </w:tc>
        <w:tc>
          <w:tcPr>
            <w:tcW w:w="806" w:type="dxa"/>
          </w:tcPr>
          <w:p w14:paraId="7B24DAA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48</w:t>
            </w:r>
          </w:p>
        </w:tc>
        <w:tc>
          <w:tcPr>
            <w:tcW w:w="2410" w:type="dxa"/>
          </w:tcPr>
          <w:p w14:paraId="4FE5EC19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676CA556" w14:textId="77777777" w:rsidTr="00E2515C">
        <w:tc>
          <w:tcPr>
            <w:tcW w:w="1156" w:type="dxa"/>
          </w:tcPr>
          <w:p w14:paraId="771C214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lastRenderedPageBreak/>
              <w:t>BDI 285</w:t>
            </w:r>
          </w:p>
        </w:tc>
        <w:tc>
          <w:tcPr>
            <w:tcW w:w="1362" w:type="dxa"/>
          </w:tcPr>
          <w:p w14:paraId="0D365EDE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Classificazione e registrazione incidenti</w:t>
            </w:r>
          </w:p>
        </w:tc>
        <w:tc>
          <w:tcPr>
            <w:tcW w:w="4842" w:type="dxa"/>
          </w:tcPr>
          <w:p w14:paraId="79E220AB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Classificazione e registrazione incidenti», implementando: 285 del 17 dicembre 2013 11° aggiornamento SEZIONE VI L’ESTERNALIZZAZIONE DEL SISTEMA INFORMATIVO 1. Tipologie di esternalizzazione L’esternalizzazione delle risorse e servizi ICT può assumere diverse forme a seconda del modello architetturale adottato: dall’outsourcing verticale (relativo a determinati processi operativi) all’outsourcing orizzontale di servizi trasversali come la gestione degli apparati hardware (facility management), lo sviluppo e la gestione del parco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appl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730C3EE6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PIR/lessons learned non rese obbligatorie con scadenze e deliverable minimi per ogni major incident.</w:t>
            </w:r>
          </w:p>
        </w:tc>
        <w:tc>
          <w:tcPr>
            <w:tcW w:w="1132" w:type="dxa"/>
          </w:tcPr>
          <w:p w14:paraId="37D5E44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54</w:t>
            </w:r>
          </w:p>
        </w:tc>
        <w:tc>
          <w:tcPr>
            <w:tcW w:w="806" w:type="dxa"/>
          </w:tcPr>
          <w:p w14:paraId="23A37932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46</w:t>
            </w:r>
          </w:p>
        </w:tc>
        <w:tc>
          <w:tcPr>
            <w:tcW w:w="2410" w:type="dxa"/>
          </w:tcPr>
          <w:p w14:paraId="516D413D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KPI/KRI (MTTD/MTTR, %RT&gt;RTO), tassonomia e flussi standardizzati; integrazione con BCM e vendor, audit trail completo.</w:t>
            </w:r>
          </w:p>
        </w:tc>
      </w:tr>
      <w:tr w:rsidR="00144141" w:rsidRPr="00F24A23" w14:paraId="21341F87" w14:textId="77777777" w:rsidTr="00E2515C">
        <w:tc>
          <w:tcPr>
            <w:tcW w:w="1156" w:type="dxa"/>
          </w:tcPr>
          <w:p w14:paraId="4E0FCED3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BDI 285</w:t>
            </w:r>
          </w:p>
        </w:tc>
        <w:tc>
          <w:tcPr>
            <w:tcW w:w="1362" w:type="dxa"/>
          </w:tcPr>
          <w:p w14:paraId="4F7E54C9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Problem management / post-mortem</w:t>
            </w:r>
          </w:p>
        </w:tc>
        <w:tc>
          <w:tcPr>
            <w:tcW w:w="4842" w:type="dxa"/>
          </w:tcPr>
          <w:p w14:paraId="3C877E95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BDI 285 deve assicurare conformità su «ICT Incident &amp; Problem Management / Problem management / post-mortem», implementando: 285 del 17 dicembre 2013 11° aggiornamento SEZIONE VI L’ESTERNALIZZAZIONE DEL SISTEMA INFORMATIVO 1. Tipologie di esternalizzazione L’esternalizzazione delle risorse e servizi ICT può assumere diverse forme a seconda del modello architetturale adottato: dall’outsourcing verticale (relativo a determinati processi operativi) all’outsourcing orizzontale di servizi trasversali come la gestione degli apparati hardware (facility management), lo sviluppo e la gestione del parco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appl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350FF29F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PIR/lessons learned non rese obbligatorie con scadenze e deliverable minimi per ogni major incident.</w:t>
            </w:r>
          </w:p>
        </w:tc>
        <w:tc>
          <w:tcPr>
            <w:tcW w:w="1132" w:type="dxa"/>
          </w:tcPr>
          <w:p w14:paraId="3FDB851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54</w:t>
            </w:r>
          </w:p>
        </w:tc>
        <w:tc>
          <w:tcPr>
            <w:tcW w:w="806" w:type="dxa"/>
          </w:tcPr>
          <w:p w14:paraId="638DC08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46</w:t>
            </w:r>
          </w:p>
        </w:tc>
        <w:tc>
          <w:tcPr>
            <w:tcW w:w="2410" w:type="dxa"/>
          </w:tcPr>
          <w:p w14:paraId="50211BCB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Introdurre KPI/KRI (MTTD/MTTR, %RT&gt;RTO), tassonomia e flussi standardizzati; integrazione con BCM e vendor, audit trail completo.</w:t>
            </w:r>
          </w:p>
        </w:tc>
      </w:tr>
      <w:tr w:rsidR="00144141" w:rsidRPr="00F24A23" w14:paraId="784B553D" w14:textId="77777777" w:rsidTr="00E2515C">
        <w:tc>
          <w:tcPr>
            <w:tcW w:w="1156" w:type="dxa"/>
          </w:tcPr>
          <w:p w14:paraId="67AA3D4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DORA</w:t>
            </w:r>
          </w:p>
        </w:tc>
        <w:tc>
          <w:tcPr>
            <w:tcW w:w="1362" w:type="dxa"/>
          </w:tcPr>
          <w:p w14:paraId="08FDD8B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0D6E9023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DORA deve assicurare conformità su «ICT Incident &amp; Problem Management / Escalation e gestione incidenti gravi», implementando: Le informazioni sugli incidenti gravi connessi alle TIC dovrebbero essere oggetto di comunicazione reciproca: le autorità di vigilanza finanziaria dovrebbero fornire all’entità finanziaria tutti i riscontri o gli orientamenti necessari, mentre le AEV dovrebbero condividere, in forma anonima, le analisi delle minacce informatiche e le vulnerabilità concernenti un determinato incidente, per promuovere una più ampia difesa collettiva. </w:t>
            </w:r>
            <w:r w:rsidRPr="005852C6">
              <w:rPr>
                <w:sz w:val="18"/>
                <w:szCs w:val="18"/>
              </w:rPr>
              <w:t xml:space="preserve">(53) Tutte le </w:t>
            </w:r>
            <w:proofErr w:type="spellStart"/>
            <w:r w:rsidRPr="005852C6">
              <w:rPr>
                <w:sz w:val="18"/>
                <w:szCs w:val="18"/>
              </w:rPr>
              <w:t>entità</w:t>
            </w:r>
            <w:proofErr w:type="spellEnd"/>
            <w:r w:rsidRPr="005852C6">
              <w:rPr>
                <w:sz w:val="18"/>
                <w:szCs w:val="18"/>
              </w:rPr>
              <w:t xml:space="preserve"> </w:t>
            </w:r>
            <w:proofErr w:type="spellStart"/>
            <w:r w:rsidRPr="005852C6">
              <w:rPr>
                <w:sz w:val="18"/>
                <w:szCs w:val="18"/>
              </w:rPr>
              <w:t>finanziarie</w:t>
            </w:r>
            <w:proofErr w:type="spellEnd"/>
            <w:r w:rsidRPr="005852C6">
              <w:rPr>
                <w:sz w:val="18"/>
                <w:szCs w:val="18"/>
              </w:rPr>
              <w:t xml:space="preserve"> </w:t>
            </w:r>
            <w:proofErr w:type="spellStart"/>
            <w:r w:rsidRPr="005852C6">
              <w:rPr>
                <w:sz w:val="18"/>
                <w:szCs w:val="18"/>
              </w:rPr>
              <w:t>dovrebbero</w:t>
            </w:r>
            <w:proofErr w:type="spellEnd"/>
            <w:r w:rsidRPr="005852C6">
              <w:rPr>
                <w:sz w:val="18"/>
                <w:szCs w:val="18"/>
              </w:rPr>
              <w:t xml:space="preserve"> </w:t>
            </w:r>
            <w:r w:rsidRPr="005852C6">
              <w:rPr>
                <w:sz w:val="18"/>
                <w:szCs w:val="18"/>
              </w:rPr>
              <w:lastRenderedPageBreak/>
              <w:t>…</w:t>
            </w:r>
          </w:p>
        </w:tc>
        <w:tc>
          <w:tcPr>
            <w:tcW w:w="3284" w:type="dxa"/>
          </w:tcPr>
          <w:p w14:paraId="659C4B0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lastRenderedPageBreak/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37F7543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69</w:t>
            </w:r>
          </w:p>
        </w:tc>
        <w:tc>
          <w:tcPr>
            <w:tcW w:w="806" w:type="dxa"/>
          </w:tcPr>
          <w:p w14:paraId="26668172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31</w:t>
            </w:r>
          </w:p>
        </w:tc>
        <w:tc>
          <w:tcPr>
            <w:tcW w:w="2410" w:type="dxa"/>
          </w:tcPr>
          <w:p w14:paraId="4580C67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0DBBCADD" w14:textId="77777777" w:rsidTr="00E2515C">
        <w:tc>
          <w:tcPr>
            <w:tcW w:w="1156" w:type="dxa"/>
          </w:tcPr>
          <w:p w14:paraId="7D120F53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lastRenderedPageBreak/>
              <w:t>DORA</w:t>
            </w:r>
          </w:p>
        </w:tc>
        <w:tc>
          <w:tcPr>
            <w:tcW w:w="1362" w:type="dxa"/>
          </w:tcPr>
          <w:p w14:paraId="38E2E142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72E86F6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L'entità soggetta a DORA deve assicurare conformità su «ICT Incident &amp; Problem Management / Escalation e gestione incidenti gravi», implementando: Al fine di conseguire un livello comune elevato di resilienza operativa digitale, il presente regolamento stabilisce i seguenti obblighi uniformi in relazione alla sicurezza dei sistemi informatici e di rete che sostengono i processi commerciali delle entità finanziarie: a) obblighi applicabili alle entità finanziarie in materia di: i) gestione dei rischi delle tecnologie dell’informazione e della comunicazione (TIC); ii) segnalazione alle autorità competenti degli incidenti …</w:t>
            </w:r>
          </w:p>
        </w:tc>
        <w:tc>
          <w:tcPr>
            <w:tcW w:w="3284" w:type="dxa"/>
          </w:tcPr>
          <w:p w14:paraId="5A078941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6E2968B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74</w:t>
            </w:r>
          </w:p>
        </w:tc>
        <w:tc>
          <w:tcPr>
            <w:tcW w:w="806" w:type="dxa"/>
          </w:tcPr>
          <w:p w14:paraId="45A40A9A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26</w:t>
            </w:r>
          </w:p>
        </w:tc>
        <w:tc>
          <w:tcPr>
            <w:tcW w:w="2410" w:type="dxa"/>
          </w:tcPr>
          <w:p w14:paraId="41379E2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347C1478" w14:textId="77777777" w:rsidTr="00E2515C">
        <w:tc>
          <w:tcPr>
            <w:tcW w:w="1156" w:type="dxa"/>
          </w:tcPr>
          <w:p w14:paraId="786241B2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DORA</w:t>
            </w:r>
          </w:p>
        </w:tc>
        <w:tc>
          <w:tcPr>
            <w:tcW w:w="1362" w:type="dxa"/>
          </w:tcPr>
          <w:p w14:paraId="6C7F3974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67CC17A4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DORA deve assicurare conformità su «ICT Incident &amp; Problem Management / Escalation e gestione incidenti gravi», implementando: CAPO I Disposizioni generali Articolo 1 Oggetto 1. Al fine di conseguire un livello comune elevato di resilienza operativa digitale, il presente regolamento stabilisce i seguenti obblighi uniformi in relazione alla sicurezza dei sistemi informatici e di rete che sostengono i processi commerciali delle entità finanziarie: a) obblighi applicabili alle entità finanziarie in materia di: i) gestione dei rischi delle tecnologie dell’informazione e della comunicazione (TIC); ii)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seg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1BB3DC33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5E13606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74</w:t>
            </w:r>
          </w:p>
        </w:tc>
        <w:tc>
          <w:tcPr>
            <w:tcW w:w="806" w:type="dxa"/>
          </w:tcPr>
          <w:p w14:paraId="28661B06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26</w:t>
            </w:r>
          </w:p>
        </w:tc>
        <w:tc>
          <w:tcPr>
            <w:tcW w:w="2410" w:type="dxa"/>
          </w:tcPr>
          <w:p w14:paraId="7027733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47D77AAA" w14:textId="77777777" w:rsidTr="00E2515C">
        <w:tc>
          <w:tcPr>
            <w:tcW w:w="1156" w:type="dxa"/>
          </w:tcPr>
          <w:p w14:paraId="172A1371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DORA</w:t>
            </w:r>
          </w:p>
        </w:tc>
        <w:tc>
          <w:tcPr>
            <w:tcW w:w="1362" w:type="dxa"/>
          </w:tcPr>
          <w:p w14:paraId="4438935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497960C6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DORA deve assicurare conformità su «ICT Incident &amp; Problem Management / Escalation e gestione incidenti gravi», implementando: Le entità finanziarie classificano le minacce informatiche come significative in base alla criticità dei servizi a rischio, comprese le operazioni dell’entità finanziaria, il numero e/o la rilevanza di clienti o controparti finanziarie interessati e l’estensione geografica delle aree a rischio. 3. In consultazione con la BCE e l’ENISA, le AEV elaborano, tramite il comitato congiunto, progetti di norme tecniche di regolamentazione comuni che specificano ulteriormente gli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lastRenderedPageBreak/>
              <w:t>aspet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5082628C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lastRenderedPageBreak/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350B6DC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75</w:t>
            </w:r>
          </w:p>
        </w:tc>
        <w:tc>
          <w:tcPr>
            <w:tcW w:w="806" w:type="dxa"/>
          </w:tcPr>
          <w:p w14:paraId="12801C41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14:paraId="57C8A7BA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3C86DC28" w14:textId="77777777" w:rsidTr="00E2515C">
        <w:tc>
          <w:tcPr>
            <w:tcW w:w="1156" w:type="dxa"/>
          </w:tcPr>
          <w:p w14:paraId="30899B68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DORA</w:t>
            </w:r>
          </w:p>
        </w:tc>
        <w:tc>
          <w:tcPr>
            <w:tcW w:w="1362" w:type="dxa"/>
          </w:tcPr>
          <w:p w14:paraId="2A1BC1D8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05E845E0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L'entità soggetta a DORA deve assicurare conformità su «ICT Incident &amp; Problem Management / Escalation e gestione incidenti gravi», implementando: In consultazione con la BCE e l’ENISA, le AEV elaborano, tramite il comitato congiunto, progetti di norme tecniche di regolamentazione comuni che specificano ulteriormente gli aspetti seguenti: a) i criteri di cui al paragrafo 1, comprese le soglie di rilevanza per la determinazione dei gravi incidenti TIC o, ove applicabile, dei gravi incidenti operativi o relativi alla sicurezza dei pagamenti, che sono oggetto dell’obbligo di segnalazione di cui all’articolo 19, paragrafo 1 …</w:t>
            </w:r>
          </w:p>
        </w:tc>
        <w:tc>
          <w:tcPr>
            <w:tcW w:w="3284" w:type="dxa"/>
          </w:tcPr>
          <w:p w14:paraId="3ACD6403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7482A56C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78</w:t>
            </w:r>
          </w:p>
        </w:tc>
        <w:tc>
          <w:tcPr>
            <w:tcW w:w="806" w:type="dxa"/>
          </w:tcPr>
          <w:p w14:paraId="5311145F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22</w:t>
            </w:r>
          </w:p>
        </w:tc>
        <w:tc>
          <w:tcPr>
            <w:tcW w:w="2410" w:type="dxa"/>
          </w:tcPr>
          <w:p w14:paraId="51476F54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  <w:tr w:rsidR="00144141" w:rsidRPr="00F24A23" w14:paraId="068E32E4" w14:textId="77777777" w:rsidTr="00E2515C">
        <w:tc>
          <w:tcPr>
            <w:tcW w:w="1156" w:type="dxa"/>
          </w:tcPr>
          <w:p w14:paraId="1CB8C0E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DORA</w:t>
            </w:r>
          </w:p>
        </w:tc>
        <w:tc>
          <w:tcPr>
            <w:tcW w:w="1362" w:type="dxa"/>
          </w:tcPr>
          <w:p w14:paraId="76CE0821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Escalation e gestione incidenti gravi</w:t>
            </w:r>
          </w:p>
        </w:tc>
        <w:tc>
          <w:tcPr>
            <w:tcW w:w="4842" w:type="dxa"/>
          </w:tcPr>
          <w:p w14:paraId="591AD77E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 xml:space="preserve">L'entità soggetta a DORA deve assicurare conformità su «ICT Incident &amp; Problem Management / Escalation e gestione incidenti gravi», implementando: 3. In consultazione con la BCE e l’ENISA, le AEV elaborano, tramite il comitato congiunto, progetti di norme tecniche di regolamentazione comuni che specificano ulteriormente gli aspetti seguenti: a) i criteri di cui al paragrafo 1, comprese le soglie di rilevanza per la determinazione dei gravi incidenti TIC o, ove applicabile, dei gravi incidenti operativi o relativi alla sicurezza dei pagamenti, che sono oggetto dell’obbligo di segnalazione di cui all’articolo 19, </w:t>
            </w:r>
            <w:proofErr w:type="spellStart"/>
            <w:r w:rsidRPr="005852C6">
              <w:rPr>
                <w:sz w:val="18"/>
                <w:szCs w:val="18"/>
                <w:lang w:val="it-IT"/>
              </w:rPr>
              <w:t>paragraf</w:t>
            </w:r>
            <w:proofErr w:type="spellEnd"/>
            <w:r w:rsidRPr="005852C6">
              <w:rPr>
                <w:sz w:val="18"/>
                <w:szCs w:val="18"/>
                <w:lang w:val="it-IT"/>
              </w:rPr>
              <w:t xml:space="preserve"> …</w:t>
            </w:r>
          </w:p>
        </w:tc>
        <w:tc>
          <w:tcPr>
            <w:tcW w:w="3284" w:type="dxa"/>
          </w:tcPr>
          <w:p w14:paraId="75C9E033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Timeline e contenuti minimi per segnalazione incidenti gravi non pienamente formalizzati (notifica iniziale, relazioni intermedie, relazione finale assenti/implicite nella procedura).</w:t>
            </w:r>
          </w:p>
        </w:tc>
        <w:tc>
          <w:tcPr>
            <w:tcW w:w="1132" w:type="dxa"/>
          </w:tcPr>
          <w:p w14:paraId="5CAB0627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79</w:t>
            </w:r>
          </w:p>
        </w:tc>
        <w:tc>
          <w:tcPr>
            <w:tcW w:w="806" w:type="dxa"/>
          </w:tcPr>
          <w:p w14:paraId="2817E94D" w14:textId="77777777" w:rsidR="00144141" w:rsidRPr="005852C6" w:rsidRDefault="00000000">
            <w:pPr>
              <w:rPr>
                <w:sz w:val="18"/>
                <w:szCs w:val="18"/>
              </w:rPr>
            </w:pPr>
            <w:r w:rsidRPr="005852C6">
              <w:rPr>
                <w:sz w:val="18"/>
                <w:szCs w:val="18"/>
              </w:rPr>
              <w:t>21</w:t>
            </w:r>
          </w:p>
        </w:tc>
        <w:tc>
          <w:tcPr>
            <w:tcW w:w="2410" w:type="dxa"/>
          </w:tcPr>
          <w:p w14:paraId="385DEE5D" w14:textId="77777777" w:rsidR="00144141" w:rsidRPr="005852C6" w:rsidRDefault="00000000">
            <w:pPr>
              <w:rPr>
                <w:sz w:val="18"/>
                <w:szCs w:val="18"/>
                <w:lang w:val="it-IT"/>
              </w:rPr>
            </w:pPr>
            <w:r w:rsidRPr="005852C6">
              <w:rPr>
                <w:sz w:val="18"/>
                <w:szCs w:val="18"/>
                <w:lang w:val="it-IT"/>
              </w:rPr>
              <w:t>Definire stadi e SLA di reporting (iniziale/intermedio/finale), template minimi, ruoli e tempi; allineare classificazione a standard e prevedere PIR obbligatorie.</w:t>
            </w:r>
          </w:p>
        </w:tc>
      </w:tr>
    </w:tbl>
    <w:p w14:paraId="184304C9" w14:textId="77777777" w:rsidR="00144141" w:rsidRPr="005852C6" w:rsidRDefault="00000000">
      <w:pPr>
        <w:pStyle w:val="Titolo1"/>
        <w:rPr>
          <w:lang w:val="it-IT"/>
        </w:rPr>
      </w:pPr>
      <w:r w:rsidRPr="005852C6">
        <w:rPr>
          <w:lang w:val="it-IT"/>
        </w:rPr>
        <w:t>4) Grafico – Livello di gap per subtopic</w:t>
      </w:r>
    </w:p>
    <w:p w14:paraId="62860173" w14:textId="77777777" w:rsidR="00B56A8E" w:rsidRPr="001F622D" w:rsidRDefault="00B56A8E" w:rsidP="00B56A8E">
      <w:pPr>
        <w:jc w:val="center"/>
        <w:rPr>
          <w:lang w:val="it-IT"/>
        </w:rPr>
      </w:pPr>
    </w:p>
    <w:p w14:paraId="5E1B5016" w14:textId="0D4671BC" w:rsidR="00144141" w:rsidRDefault="00000000" w:rsidP="00B56A8E">
      <w:pPr>
        <w:jc w:val="center"/>
      </w:pPr>
      <w:r>
        <w:rPr>
          <w:noProof/>
        </w:rPr>
        <w:lastRenderedPageBreak/>
        <w:drawing>
          <wp:inline distT="0" distB="0" distL="0" distR="0" wp14:anchorId="1628784E" wp14:editId="299C0986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porto_Incident_Compliance_GapPerSubtop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3741" w14:textId="77777777" w:rsidR="00144141" w:rsidRPr="005852C6" w:rsidRDefault="00000000">
      <w:pPr>
        <w:pStyle w:val="Titolo1"/>
        <w:rPr>
          <w:lang w:val="it-IT"/>
        </w:rPr>
      </w:pPr>
      <w:r w:rsidRPr="005852C6">
        <w:rPr>
          <w:lang w:val="it-IT"/>
        </w:rPr>
        <w:t xml:space="preserve">5) Piano di </w:t>
      </w:r>
      <w:proofErr w:type="spellStart"/>
      <w:r w:rsidRPr="005852C6">
        <w:rPr>
          <w:lang w:val="it-IT"/>
        </w:rPr>
        <w:t>remediation</w:t>
      </w:r>
      <w:proofErr w:type="spellEnd"/>
      <w:r w:rsidRPr="005852C6">
        <w:rPr>
          <w:lang w:val="it-IT"/>
        </w:rPr>
        <w:t xml:space="preserve"> (breve/medio/lungo termine)</w:t>
      </w:r>
    </w:p>
    <w:p w14:paraId="13409B99" w14:textId="77777777" w:rsidR="00144141" w:rsidRPr="005852C6" w:rsidRDefault="00000000">
      <w:pPr>
        <w:rPr>
          <w:lang w:val="it-IT"/>
        </w:rPr>
      </w:pPr>
      <w:r w:rsidRPr="00B56A8E">
        <w:rPr>
          <w:highlight w:val="yellow"/>
          <w:lang w:val="it-IT"/>
        </w:rPr>
        <w:t>Breve termine (0–3 mesi):</w:t>
      </w:r>
    </w:p>
    <w:p w14:paraId="309DEE09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• Allineamento DORA Art. 18–20: timeline/SLA per notifica iniziale/intermedia/finale; template minimi; destinatari Autorità; trigger da registro incidenti.</w:t>
      </w:r>
    </w:p>
    <w:p w14:paraId="35C1A49D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• Aggiornare tassonomia e soglie (Art. 18) e arricchire il registro con campi strutturati (asset, </w:t>
      </w:r>
      <w:proofErr w:type="spellStart"/>
      <w:r w:rsidRPr="005852C6">
        <w:rPr>
          <w:lang w:val="it-IT"/>
        </w:rPr>
        <w:t>change</w:t>
      </w:r>
      <w:proofErr w:type="spellEnd"/>
      <w:r w:rsidRPr="005852C6">
        <w:rPr>
          <w:lang w:val="it-IT"/>
        </w:rPr>
        <w:t>, MTTD/MTTR, impatti).</w:t>
      </w:r>
    </w:p>
    <w:p w14:paraId="60D4F09A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• Punto di controllo per comunicazioni a Bankit/BCE post-evento; responsabilità e contenuti minimi.</w:t>
      </w:r>
    </w:p>
    <w:p w14:paraId="641F2E6B" w14:textId="77777777" w:rsidR="00144141" w:rsidRPr="005852C6" w:rsidRDefault="00000000">
      <w:pPr>
        <w:rPr>
          <w:lang w:val="it-IT"/>
        </w:rPr>
      </w:pPr>
      <w:r w:rsidRPr="00B56A8E">
        <w:rPr>
          <w:highlight w:val="yellow"/>
          <w:lang w:val="it-IT"/>
        </w:rPr>
        <w:t>Medio termine (3–9 mesi):</w:t>
      </w:r>
    </w:p>
    <w:p w14:paraId="1B449CFC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• PIR/lessons learned obbligatorie per incidenti major; chiusura azioni con </w:t>
      </w:r>
      <w:proofErr w:type="spellStart"/>
      <w:r w:rsidRPr="005852C6">
        <w:rPr>
          <w:lang w:val="it-IT"/>
        </w:rPr>
        <w:t>owner</w:t>
      </w:r>
      <w:proofErr w:type="spellEnd"/>
      <w:r w:rsidRPr="005852C6">
        <w:rPr>
          <w:lang w:val="it-IT"/>
        </w:rPr>
        <w:t xml:space="preserve"> e due date; integrazione nel BCM.</w:t>
      </w:r>
    </w:p>
    <w:p w14:paraId="3247286B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• KPI/KRI: MTTD/MTTR, % RT&gt;RTO, # incidenti gravi/mese, % notifiche entro SLA; cruscotto direzionale e escalation.</w:t>
      </w:r>
    </w:p>
    <w:p w14:paraId="6EE6658A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lastRenderedPageBreak/>
        <w:t>• Integrazione fornitori: requisiti di dati/reporting nei contratti (OLA/SLA) e flussi congiunti di gestione incidenti.</w:t>
      </w:r>
    </w:p>
    <w:p w14:paraId="17D242B7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Lungo termine (9–18 mesi):</w:t>
      </w:r>
    </w:p>
    <w:p w14:paraId="78562963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• Automazione </w:t>
      </w:r>
      <w:proofErr w:type="spellStart"/>
      <w:r w:rsidRPr="005852C6">
        <w:rPr>
          <w:lang w:val="it-IT"/>
        </w:rPr>
        <w:t>ITSM→reporting</w:t>
      </w:r>
      <w:proofErr w:type="spellEnd"/>
      <w:r w:rsidRPr="005852C6">
        <w:rPr>
          <w:lang w:val="it-IT"/>
        </w:rPr>
        <w:t xml:space="preserve"> regolamentare (generazione guidata initial/interim/final).</w:t>
      </w:r>
    </w:p>
    <w:p w14:paraId="1C7EC30A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• </w:t>
      </w:r>
      <w:proofErr w:type="spellStart"/>
      <w:r w:rsidRPr="005852C6">
        <w:rPr>
          <w:lang w:val="it-IT"/>
        </w:rPr>
        <w:t>Table</w:t>
      </w:r>
      <w:proofErr w:type="spellEnd"/>
      <w:r w:rsidRPr="005852C6">
        <w:rPr>
          <w:lang w:val="it-IT"/>
        </w:rPr>
        <w:t>-top &amp; audit tematici Incident Mgmt; verifica tempi/contenuti e audit su fornitori critici.</w:t>
      </w:r>
    </w:p>
    <w:p w14:paraId="460D04B7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• </w:t>
      </w:r>
      <w:proofErr w:type="spellStart"/>
      <w:r w:rsidRPr="005852C6">
        <w:rPr>
          <w:lang w:val="it-IT"/>
        </w:rPr>
        <w:t>Crisis</w:t>
      </w:r>
      <w:proofErr w:type="spellEnd"/>
      <w:r w:rsidRPr="005852C6">
        <w:rPr>
          <w:lang w:val="it-IT"/>
        </w:rPr>
        <w:t xml:space="preserve"> </w:t>
      </w:r>
      <w:proofErr w:type="spellStart"/>
      <w:r w:rsidRPr="005852C6">
        <w:rPr>
          <w:lang w:val="it-IT"/>
        </w:rPr>
        <w:t>communications</w:t>
      </w:r>
      <w:proofErr w:type="spellEnd"/>
      <w:r w:rsidRPr="005852C6">
        <w:rPr>
          <w:lang w:val="it-IT"/>
        </w:rPr>
        <w:t xml:space="preserve"> integrate con BCM, in coerenza con DORA Art. 11.</w:t>
      </w:r>
    </w:p>
    <w:p w14:paraId="7C7AAF27" w14:textId="77777777" w:rsidR="00144141" w:rsidRPr="005852C6" w:rsidRDefault="00000000">
      <w:pPr>
        <w:pStyle w:val="Titolo1"/>
        <w:rPr>
          <w:lang w:val="it-IT"/>
        </w:rPr>
      </w:pPr>
      <w:r w:rsidRPr="005852C6">
        <w:rPr>
          <w:lang w:val="it-IT"/>
        </w:rPr>
        <w:t>6) Raccomandazioni</w:t>
      </w:r>
    </w:p>
    <w:p w14:paraId="099E60BC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1) Approvare un addendum alla Procedura Incidenti per recepire Art. 18–20 DORA e gli obblighi 285 su reporting/qualità dei dati.</w:t>
      </w:r>
    </w:p>
    <w:p w14:paraId="1BF1BFA0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2) Istituire KPI/KRI e PIR obbligatorie per incidenti major, collegate al ciclo BCM e al piano di miglioramento continuo.</w:t>
      </w:r>
    </w:p>
    <w:p w14:paraId="245120DD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 xml:space="preserve">3) Rafforzare ruoli e responsabilità (POW/SM/ISR-CYB) nel governo del processo ed escalation, in coerenza con il </w:t>
      </w:r>
      <w:proofErr w:type="spellStart"/>
      <w:r w:rsidRPr="005852C6">
        <w:rPr>
          <w:lang w:val="it-IT"/>
        </w:rPr>
        <w:t>Funzionigramma</w:t>
      </w:r>
      <w:proofErr w:type="spellEnd"/>
      <w:r w:rsidRPr="005852C6">
        <w:rPr>
          <w:lang w:val="it-IT"/>
        </w:rPr>
        <w:t>.</w:t>
      </w:r>
    </w:p>
    <w:p w14:paraId="5766798D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4) Assicurare la conformità degli outsourcer ai requisiti di reporting e dati; aggiornare i contratti con clausole specifiche.</w:t>
      </w:r>
    </w:p>
    <w:p w14:paraId="11520A11" w14:textId="77777777" w:rsidR="00144141" w:rsidRPr="005852C6" w:rsidRDefault="00000000">
      <w:pPr>
        <w:rPr>
          <w:lang w:val="it-IT"/>
        </w:rPr>
      </w:pPr>
      <w:r w:rsidRPr="005852C6">
        <w:rPr>
          <w:lang w:val="it-IT"/>
        </w:rPr>
        <w:t>5) Programmare un audit ICT tematico su Incident &amp; Problem Management e sulla catena di fornitura.</w:t>
      </w:r>
    </w:p>
    <w:sectPr w:rsidR="00144141" w:rsidRPr="005852C6" w:rsidSect="005852C6">
      <w:headerReference w:type="default" r:id="rId9"/>
      <w:foot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2A79" w14:textId="77777777" w:rsidR="00C01350" w:rsidRDefault="00C01350" w:rsidP="001F622D">
      <w:pPr>
        <w:spacing w:after="0" w:line="240" w:lineRule="auto"/>
      </w:pPr>
      <w:r>
        <w:separator/>
      </w:r>
    </w:p>
  </w:endnote>
  <w:endnote w:type="continuationSeparator" w:id="0">
    <w:p w14:paraId="4F2CF382" w14:textId="77777777" w:rsidR="00C01350" w:rsidRDefault="00C01350" w:rsidP="001F6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1E37" w14:textId="77777777" w:rsidR="008825CB" w:rsidRDefault="008825CB">
    <w:pPr>
      <w:pStyle w:val="Pidipagina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DAE6467" w14:textId="77777777" w:rsidR="001F622D" w:rsidRDefault="001F62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9AED1" w14:textId="77777777" w:rsidR="00C01350" w:rsidRDefault="00C01350" w:rsidP="001F622D">
      <w:pPr>
        <w:spacing w:after="0" w:line="240" w:lineRule="auto"/>
      </w:pPr>
      <w:r>
        <w:separator/>
      </w:r>
    </w:p>
  </w:footnote>
  <w:footnote w:type="continuationSeparator" w:id="0">
    <w:p w14:paraId="2D977E6E" w14:textId="77777777" w:rsidR="00C01350" w:rsidRDefault="00C01350" w:rsidP="001F6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61D3" w14:textId="24068831" w:rsidR="001F622D" w:rsidRDefault="008825CB" w:rsidP="008825CB">
    <w:pPr>
      <w:pStyle w:val="Intestazione"/>
      <w:jc w:val="right"/>
    </w:pPr>
    <w:r>
      <w:rPr>
        <w:noProof/>
      </w:rPr>
      <w:drawing>
        <wp:inline distT="0" distB="0" distL="0" distR="0" wp14:anchorId="29A379CC" wp14:editId="247DE955">
          <wp:extent cx="620973" cy="253483"/>
          <wp:effectExtent l="0" t="0" r="8255" b="0"/>
          <wp:docPr id="155894662" name="Picture 1" descr="Immagine che contiene Carattere, Elementi grafici, logo, test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894662" name="Picture 1" descr="Immagine che contiene Carattere, Elementi grafici, logo, testo&#10;&#10;Il contenuto generato dall'IA potrebbe non essere corret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102" cy="26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893615">
    <w:abstractNumId w:val="8"/>
  </w:num>
  <w:num w:numId="2" w16cid:durableId="2090033832">
    <w:abstractNumId w:val="6"/>
  </w:num>
  <w:num w:numId="3" w16cid:durableId="589587531">
    <w:abstractNumId w:val="5"/>
  </w:num>
  <w:num w:numId="4" w16cid:durableId="503977494">
    <w:abstractNumId w:val="4"/>
  </w:num>
  <w:num w:numId="5" w16cid:durableId="1725904267">
    <w:abstractNumId w:val="7"/>
  </w:num>
  <w:num w:numId="6" w16cid:durableId="98960203">
    <w:abstractNumId w:val="3"/>
  </w:num>
  <w:num w:numId="7" w16cid:durableId="285744678">
    <w:abstractNumId w:val="2"/>
  </w:num>
  <w:num w:numId="8" w16cid:durableId="640308251">
    <w:abstractNumId w:val="1"/>
  </w:num>
  <w:num w:numId="9" w16cid:durableId="6411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EB"/>
    <w:rsid w:val="00034616"/>
    <w:rsid w:val="0006063C"/>
    <w:rsid w:val="00071CD7"/>
    <w:rsid w:val="00117674"/>
    <w:rsid w:val="00144141"/>
    <w:rsid w:val="0015074B"/>
    <w:rsid w:val="001F622D"/>
    <w:rsid w:val="0029639D"/>
    <w:rsid w:val="00326F90"/>
    <w:rsid w:val="00481E89"/>
    <w:rsid w:val="00486376"/>
    <w:rsid w:val="00575E99"/>
    <w:rsid w:val="005852C6"/>
    <w:rsid w:val="00723D8C"/>
    <w:rsid w:val="008825CB"/>
    <w:rsid w:val="008B60C3"/>
    <w:rsid w:val="00902F3D"/>
    <w:rsid w:val="00910102"/>
    <w:rsid w:val="009658C3"/>
    <w:rsid w:val="009818D8"/>
    <w:rsid w:val="00A05E24"/>
    <w:rsid w:val="00AA1D8D"/>
    <w:rsid w:val="00B47730"/>
    <w:rsid w:val="00B56A8E"/>
    <w:rsid w:val="00C01350"/>
    <w:rsid w:val="00C133CC"/>
    <w:rsid w:val="00CB0664"/>
    <w:rsid w:val="00D425C0"/>
    <w:rsid w:val="00E2515C"/>
    <w:rsid w:val="00EC7756"/>
    <w:rsid w:val="00F24A23"/>
    <w:rsid w:val="00F90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AD54EB-D010-4404-A800-6AE174BB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2724</Words>
  <Characters>15530</Characters>
  <Application>Microsoft Office Word</Application>
  <DocSecurity>0</DocSecurity>
  <Lines>129</Lines>
  <Paragraphs>36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Consulente1</cp:lastModifiedBy>
  <cp:revision>12</cp:revision>
  <dcterms:created xsi:type="dcterms:W3CDTF">2013-12-23T23:15:00Z</dcterms:created>
  <dcterms:modified xsi:type="dcterms:W3CDTF">2025-09-17T07:37:00Z</dcterms:modified>
  <cp:category/>
</cp:coreProperties>
</file>