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4AEC" w14:textId="731FD2FB" w:rsidR="00A2164E" w:rsidRPr="00A2164E" w:rsidRDefault="00A2164E" w:rsidP="00A2164E">
      <w:pPr>
        <w:pStyle w:val="Titolo"/>
      </w:pPr>
      <w:r w:rsidRPr="00A2164E">
        <w:t>Analisi Conformità in materia di Esternalizzazioni</w:t>
      </w:r>
    </w:p>
    <w:p w14:paraId="41608C0D" w14:textId="5E94471F" w:rsidR="00A2164E" w:rsidRPr="00A2164E" w:rsidRDefault="00A2164E" w:rsidP="00A2164E">
      <w:pPr>
        <w:pBdr>
          <w:top w:val="single" w:sz="4" w:space="1" w:color="auto"/>
          <w:left w:val="single" w:sz="4" w:space="4" w:color="auto"/>
          <w:bottom w:val="single" w:sz="4" w:space="1" w:color="auto"/>
          <w:right w:val="single" w:sz="4" w:space="4" w:color="auto"/>
        </w:pBdr>
        <w:rPr>
          <w:sz w:val="20"/>
          <w:szCs w:val="20"/>
        </w:rPr>
      </w:pPr>
      <w:r w:rsidRPr="00A2164E">
        <w:rPr>
          <w:b/>
          <w:bCs/>
          <w:sz w:val="20"/>
          <w:szCs w:val="20"/>
        </w:rPr>
        <w:t>Sinergia ICT. Esegui l'analisi della conformità di 1) Regolamento sulle esternalizzazioni di Contoso  2) Procedura Gestione Incidenti di Contoso, rispetto alle direttive DORA in materia di esternalizzazioni. Elenca i principali gap delle prescrizioni che sono previsti da DORA e non sono invece presenti nelle normative interne di Contoso</w:t>
      </w:r>
      <w:r w:rsidRPr="00A2164E">
        <w:rPr>
          <w:sz w:val="20"/>
          <w:szCs w:val="20"/>
        </w:rPr>
        <w:t>.</w:t>
      </w:r>
    </w:p>
    <w:sdt>
      <w:sdtPr>
        <w:rPr>
          <w:rFonts w:asciiTheme="minorHAnsi" w:eastAsiaTheme="minorHAnsi" w:hAnsiTheme="minorHAnsi" w:cstheme="minorBidi"/>
          <w:color w:val="auto"/>
          <w:kern w:val="2"/>
          <w:sz w:val="24"/>
          <w:szCs w:val="24"/>
          <w:lang w:val="it-IT"/>
          <w14:ligatures w14:val="standardContextual"/>
        </w:rPr>
        <w:id w:val="1241456349"/>
        <w:docPartObj>
          <w:docPartGallery w:val="Table of Contents"/>
          <w:docPartUnique/>
        </w:docPartObj>
      </w:sdtPr>
      <w:sdtEndPr>
        <w:rPr>
          <w:b/>
          <w:bCs/>
          <w:noProof/>
        </w:rPr>
      </w:sdtEndPr>
      <w:sdtContent>
        <w:p w14:paraId="2476EADA" w14:textId="270A9227" w:rsidR="00A2164E" w:rsidRDefault="00A2164E">
          <w:pPr>
            <w:pStyle w:val="Titolosommario"/>
          </w:pPr>
        </w:p>
        <w:p w14:paraId="52C0D024" w14:textId="788463E4" w:rsidR="00F31F45" w:rsidRDefault="00A2164E">
          <w:pPr>
            <w:pStyle w:val="Sommario1"/>
            <w:tabs>
              <w:tab w:val="right" w:leader="dot" w:pos="8779"/>
            </w:tabs>
            <w:rPr>
              <w:rFonts w:eastAsiaTheme="minorEastAsia"/>
              <w:noProof/>
              <w:lang w:val="en-US"/>
            </w:rPr>
          </w:pPr>
          <w:r>
            <w:fldChar w:fldCharType="begin"/>
          </w:r>
          <w:r>
            <w:instrText xml:space="preserve"> TOC \o "1-3" \h \z \u </w:instrText>
          </w:r>
          <w:r>
            <w:fldChar w:fldCharType="separate"/>
          </w:r>
          <w:hyperlink w:anchor="_Toc211923385" w:history="1">
            <w:r w:rsidR="00F31F45" w:rsidRPr="00FD6343">
              <w:rPr>
                <w:rStyle w:val="Collegamentoipertestuale"/>
                <w:rFonts w:eastAsia="Aptos"/>
                <w:noProof/>
              </w:rPr>
              <w:t>Sintesi esecutiva</w:t>
            </w:r>
            <w:r w:rsidR="00F31F45">
              <w:rPr>
                <w:noProof/>
                <w:webHidden/>
              </w:rPr>
              <w:tab/>
            </w:r>
            <w:r w:rsidR="00F31F45">
              <w:rPr>
                <w:noProof/>
                <w:webHidden/>
              </w:rPr>
              <w:fldChar w:fldCharType="begin"/>
            </w:r>
            <w:r w:rsidR="00F31F45">
              <w:rPr>
                <w:noProof/>
                <w:webHidden/>
              </w:rPr>
              <w:instrText xml:space="preserve"> PAGEREF _Toc211923385 \h </w:instrText>
            </w:r>
            <w:r w:rsidR="00F31F45">
              <w:rPr>
                <w:noProof/>
                <w:webHidden/>
              </w:rPr>
            </w:r>
            <w:r w:rsidR="00F31F45">
              <w:rPr>
                <w:noProof/>
                <w:webHidden/>
              </w:rPr>
              <w:fldChar w:fldCharType="separate"/>
            </w:r>
            <w:r w:rsidR="007B5FAA">
              <w:rPr>
                <w:noProof/>
                <w:webHidden/>
              </w:rPr>
              <w:t>2</w:t>
            </w:r>
            <w:r w:rsidR="00F31F45">
              <w:rPr>
                <w:noProof/>
                <w:webHidden/>
              </w:rPr>
              <w:fldChar w:fldCharType="end"/>
            </w:r>
          </w:hyperlink>
        </w:p>
        <w:p w14:paraId="49FDC720" w14:textId="71EB0038" w:rsidR="00F31F45" w:rsidRDefault="00F31F45">
          <w:pPr>
            <w:pStyle w:val="Sommario3"/>
            <w:tabs>
              <w:tab w:val="right" w:leader="dot" w:pos="8779"/>
            </w:tabs>
            <w:rPr>
              <w:rFonts w:eastAsiaTheme="minorEastAsia"/>
              <w:noProof/>
              <w:lang w:val="en-US"/>
            </w:rPr>
          </w:pPr>
          <w:hyperlink w:anchor="_Toc211923386" w:history="1">
            <w:r w:rsidRPr="00FD6343">
              <w:rPr>
                <w:rStyle w:val="Collegamentoipertestuale"/>
                <w:rFonts w:ascii="Aptos" w:eastAsia="Aptos" w:hAnsi="Aptos" w:cs="Aptos"/>
                <w:b/>
                <w:bCs/>
                <w:noProof/>
              </w:rPr>
              <w:t>Osservazioni su coperture</w:t>
            </w:r>
            <w:r>
              <w:rPr>
                <w:noProof/>
                <w:webHidden/>
              </w:rPr>
              <w:tab/>
            </w:r>
            <w:r>
              <w:rPr>
                <w:noProof/>
                <w:webHidden/>
              </w:rPr>
              <w:fldChar w:fldCharType="begin"/>
            </w:r>
            <w:r>
              <w:rPr>
                <w:noProof/>
                <w:webHidden/>
              </w:rPr>
              <w:instrText xml:space="preserve"> PAGEREF _Toc211923386 \h </w:instrText>
            </w:r>
            <w:r>
              <w:rPr>
                <w:noProof/>
                <w:webHidden/>
              </w:rPr>
            </w:r>
            <w:r>
              <w:rPr>
                <w:noProof/>
                <w:webHidden/>
              </w:rPr>
              <w:fldChar w:fldCharType="separate"/>
            </w:r>
            <w:r w:rsidR="007B5FAA">
              <w:rPr>
                <w:noProof/>
                <w:webHidden/>
              </w:rPr>
              <w:t>3</w:t>
            </w:r>
            <w:r>
              <w:rPr>
                <w:noProof/>
                <w:webHidden/>
              </w:rPr>
              <w:fldChar w:fldCharType="end"/>
            </w:r>
          </w:hyperlink>
        </w:p>
        <w:p w14:paraId="27CCEC7F" w14:textId="0EBDE68F" w:rsidR="00F31F45" w:rsidRDefault="00F31F45">
          <w:pPr>
            <w:pStyle w:val="Sommario3"/>
            <w:tabs>
              <w:tab w:val="right" w:leader="dot" w:pos="8779"/>
            </w:tabs>
            <w:rPr>
              <w:rFonts w:eastAsiaTheme="minorEastAsia"/>
              <w:noProof/>
              <w:lang w:val="en-US"/>
            </w:rPr>
          </w:pPr>
          <w:hyperlink w:anchor="_Toc211923387" w:history="1">
            <w:r w:rsidRPr="00FD6343">
              <w:rPr>
                <w:rStyle w:val="Collegamentoipertestuale"/>
                <w:rFonts w:ascii="Aptos" w:eastAsia="Aptos" w:hAnsi="Aptos" w:cs="Aptos"/>
                <w:b/>
                <w:bCs/>
                <w:noProof/>
              </w:rPr>
              <w:t>Raccomandazioni operative (brevi)</w:t>
            </w:r>
            <w:r>
              <w:rPr>
                <w:noProof/>
                <w:webHidden/>
              </w:rPr>
              <w:tab/>
            </w:r>
            <w:r>
              <w:rPr>
                <w:noProof/>
                <w:webHidden/>
              </w:rPr>
              <w:fldChar w:fldCharType="begin"/>
            </w:r>
            <w:r>
              <w:rPr>
                <w:noProof/>
                <w:webHidden/>
              </w:rPr>
              <w:instrText xml:space="preserve"> PAGEREF _Toc211923387 \h </w:instrText>
            </w:r>
            <w:r>
              <w:rPr>
                <w:noProof/>
                <w:webHidden/>
              </w:rPr>
            </w:r>
            <w:r>
              <w:rPr>
                <w:noProof/>
                <w:webHidden/>
              </w:rPr>
              <w:fldChar w:fldCharType="separate"/>
            </w:r>
            <w:r w:rsidR="007B5FAA">
              <w:rPr>
                <w:noProof/>
                <w:webHidden/>
              </w:rPr>
              <w:t>3</w:t>
            </w:r>
            <w:r>
              <w:rPr>
                <w:noProof/>
                <w:webHidden/>
              </w:rPr>
              <w:fldChar w:fldCharType="end"/>
            </w:r>
          </w:hyperlink>
        </w:p>
        <w:p w14:paraId="7B997DC1" w14:textId="67F492E5" w:rsidR="00F31F45" w:rsidRDefault="00F31F45">
          <w:pPr>
            <w:pStyle w:val="Sommario1"/>
            <w:tabs>
              <w:tab w:val="right" w:leader="dot" w:pos="8779"/>
            </w:tabs>
            <w:rPr>
              <w:rFonts w:eastAsiaTheme="minorEastAsia"/>
              <w:noProof/>
              <w:lang w:val="en-US"/>
            </w:rPr>
          </w:pPr>
          <w:hyperlink w:anchor="_Toc211923388" w:history="1">
            <w:r w:rsidRPr="00FD6343">
              <w:rPr>
                <w:rStyle w:val="Collegamentoipertestuale"/>
                <w:rFonts w:eastAsia="Aptos"/>
                <w:noProof/>
              </w:rPr>
              <w:t>Allegati</w:t>
            </w:r>
            <w:r>
              <w:rPr>
                <w:noProof/>
                <w:webHidden/>
              </w:rPr>
              <w:tab/>
            </w:r>
            <w:r>
              <w:rPr>
                <w:noProof/>
                <w:webHidden/>
              </w:rPr>
              <w:fldChar w:fldCharType="begin"/>
            </w:r>
            <w:r>
              <w:rPr>
                <w:noProof/>
                <w:webHidden/>
              </w:rPr>
              <w:instrText xml:space="preserve"> PAGEREF _Toc211923388 \h </w:instrText>
            </w:r>
            <w:r>
              <w:rPr>
                <w:noProof/>
                <w:webHidden/>
              </w:rPr>
            </w:r>
            <w:r>
              <w:rPr>
                <w:noProof/>
                <w:webHidden/>
              </w:rPr>
              <w:fldChar w:fldCharType="separate"/>
            </w:r>
            <w:r w:rsidR="007B5FAA">
              <w:rPr>
                <w:noProof/>
                <w:webHidden/>
              </w:rPr>
              <w:t>4</w:t>
            </w:r>
            <w:r>
              <w:rPr>
                <w:noProof/>
                <w:webHidden/>
              </w:rPr>
              <w:fldChar w:fldCharType="end"/>
            </w:r>
          </w:hyperlink>
        </w:p>
        <w:p w14:paraId="4A7A491A" w14:textId="1D5CAC4A" w:rsidR="00F31F45" w:rsidRDefault="00F31F45">
          <w:pPr>
            <w:pStyle w:val="Sommario1"/>
            <w:tabs>
              <w:tab w:val="right" w:leader="dot" w:pos="8779"/>
            </w:tabs>
            <w:rPr>
              <w:rFonts w:eastAsiaTheme="minorEastAsia"/>
              <w:noProof/>
              <w:lang w:val="en-US"/>
            </w:rPr>
          </w:pPr>
          <w:hyperlink w:anchor="_Toc211923389" w:history="1">
            <w:r w:rsidRPr="00FD6343">
              <w:rPr>
                <w:rStyle w:val="Collegamentoipertestuale"/>
                <w:rFonts w:ascii="Aptos" w:eastAsia="Aptos" w:hAnsi="Aptos" w:cs="Aptos"/>
                <w:b/>
                <w:bCs/>
                <w:noProof/>
              </w:rPr>
              <w:t>Estratti numerati con riferimenti a documenti e sezioni/articoli</w:t>
            </w:r>
            <w:r>
              <w:rPr>
                <w:noProof/>
                <w:webHidden/>
              </w:rPr>
              <w:tab/>
            </w:r>
            <w:r>
              <w:rPr>
                <w:noProof/>
                <w:webHidden/>
              </w:rPr>
              <w:fldChar w:fldCharType="begin"/>
            </w:r>
            <w:r>
              <w:rPr>
                <w:noProof/>
                <w:webHidden/>
              </w:rPr>
              <w:instrText xml:space="preserve"> PAGEREF _Toc211923389 \h </w:instrText>
            </w:r>
            <w:r>
              <w:rPr>
                <w:noProof/>
                <w:webHidden/>
              </w:rPr>
            </w:r>
            <w:r>
              <w:rPr>
                <w:noProof/>
                <w:webHidden/>
              </w:rPr>
              <w:fldChar w:fldCharType="separate"/>
            </w:r>
            <w:r w:rsidR="007B5FAA">
              <w:rPr>
                <w:noProof/>
                <w:webHidden/>
              </w:rPr>
              <w:t>4</w:t>
            </w:r>
            <w:r>
              <w:rPr>
                <w:noProof/>
                <w:webHidden/>
              </w:rPr>
              <w:fldChar w:fldCharType="end"/>
            </w:r>
          </w:hyperlink>
        </w:p>
        <w:p w14:paraId="50534B2D" w14:textId="49C74E95" w:rsidR="00F31F45" w:rsidRDefault="00F31F45">
          <w:pPr>
            <w:pStyle w:val="Sommario2"/>
            <w:tabs>
              <w:tab w:val="right" w:leader="dot" w:pos="8779"/>
            </w:tabs>
            <w:rPr>
              <w:rFonts w:eastAsiaTheme="minorEastAsia"/>
              <w:noProof/>
              <w:lang w:val="en-US"/>
            </w:rPr>
          </w:pPr>
          <w:hyperlink w:anchor="_Toc211923390" w:history="1">
            <w:r w:rsidRPr="00FD6343">
              <w:rPr>
                <w:rStyle w:val="Collegamentoipertestuale"/>
                <w:rFonts w:ascii="Aptos" w:eastAsia="Aptos" w:hAnsi="Aptos" w:cs="Aptos"/>
                <w:b/>
                <w:bCs/>
                <w:noProof/>
              </w:rPr>
              <w:t>Regolamento di Gruppo in materia di esternalizzazione CONTOSO (documento interno)</w:t>
            </w:r>
            <w:r>
              <w:rPr>
                <w:noProof/>
                <w:webHidden/>
              </w:rPr>
              <w:tab/>
            </w:r>
            <w:r>
              <w:rPr>
                <w:noProof/>
                <w:webHidden/>
              </w:rPr>
              <w:fldChar w:fldCharType="begin"/>
            </w:r>
            <w:r>
              <w:rPr>
                <w:noProof/>
                <w:webHidden/>
              </w:rPr>
              <w:instrText xml:space="preserve"> PAGEREF _Toc211923390 \h </w:instrText>
            </w:r>
            <w:r>
              <w:rPr>
                <w:noProof/>
                <w:webHidden/>
              </w:rPr>
            </w:r>
            <w:r>
              <w:rPr>
                <w:noProof/>
                <w:webHidden/>
              </w:rPr>
              <w:fldChar w:fldCharType="separate"/>
            </w:r>
            <w:r w:rsidR="007B5FAA">
              <w:rPr>
                <w:noProof/>
                <w:webHidden/>
              </w:rPr>
              <w:t>4</w:t>
            </w:r>
            <w:r>
              <w:rPr>
                <w:noProof/>
                <w:webHidden/>
              </w:rPr>
              <w:fldChar w:fldCharType="end"/>
            </w:r>
          </w:hyperlink>
        </w:p>
        <w:p w14:paraId="2677EA4C" w14:textId="7388B4F6" w:rsidR="00F31F45" w:rsidRDefault="00F31F45">
          <w:pPr>
            <w:pStyle w:val="Sommario2"/>
            <w:tabs>
              <w:tab w:val="right" w:leader="dot" w:pos="8779"/>
            </w:tabs>
            <w:rPr>
              <w:rFonts w:eastAsiaTheme="minorEastAsia"/>
              <w:noProof/>
              <w:lang w:val="en-US"/>
            </w:rPr>
          </w:pPr>
          <w:hyperlink w:anchor="_Toc211923391" w:history="1">
            <w:r w:rsidRPr="00FD6343">
              <w:rPr>
                <w:rStyle w:val="Collegamentoipertestuale"/>
                <w:rFonts w:ascii="Aptos" w:eastAsia="Aptos" w:hAnsi="Aptos" w:cs="Aptos"/>
                <w:b/>
                <w:bCs/>
                <w:noProof/>
              </w:rPr>
              <w:t>Procedura di gestione degli incidenti — Contoso (abstract)</w:t>
            </w:r>
            <w:r>
              <w:rPr>
                <w:noProof/>
                <w:webHidden/>
              </w:rPr>
              <w:tab/>
            </w:r>
            <w:r>
              <w:rPr>
                <w:noProof/>
                <w:webHidden/>
              </w:rPr>
              <w:fldChar w:fldCharType="begin"/>
            </w:r>
            <w:r>
              <w:rPr>
                <w:noProof/>
                <w:webHidden/>
              </w:rPr>
              <w:instrText xml:space="preserve"> PAGEREF _Toc211923391 \h </w:instrText>
            </w:r>
            <w:r>
              <w:rPr>
                <w:noProof/>
                <w:webHidden/>
              </w:rPr>
            </w:r>
            <w:r>
              <w:rPr>
                <w:noProof/>
                <w:webHidden/>
              </w:rPr>
              <w:fldChar w:fldCharType="separate"/>
            </w:r>
            <w:r w:rsidR="007B5FAA">
              <w:rPr>
                <w:noProof/>
                <w:webHidden/>
              </w:rPr>
              <w:t>6</w:t>
            </w:r>
            <w:r>
              <w:rPr>
                <w:noProof/>
                <w:webHidden/>
              </w:rPr>
              <w:fldChar w:fldCharType="end"/>
            </w:r>
          </w:hyperlink>
        </w:p>
        <w:p w14:paraId="61641D21" w14:textId="51391BF1" w:rsidR="00F31F45" w:rsidRDefault="00F31F45">
          <w:pPr>
            <w:pStyle w:val="Sommario2"/>
            <w:tabs>
              <w:tab w:val="right" w:leader="dot" w:pos="8779"/>
            </w:tabs>
            <w:rPr>
              <w:rFonts w:eastAsiaTheme="minorEastAsia"/>
              <w:noProof/>
              <w:lang w:val="en-US"/>
            </w:rPr>
          </w:pPr>
          <w:hyperlink w:anchor="_Toc211923392" w:history="1">
            <w:r w:rsidRPr="00FD6343">
              <w:rPr>
                <w:rStyle w:val="Collegamentoipertestuale"/>
                <w:rFonts w:ascii="Aptos" w:eastAsia="Aptos" w:hAnsi="Aptos" w:cs="Aptos"/>
                <w:b/>
                <w:bCs/>
                <w:noProof/>
              </w:rPr>
              <w:t>Regolamento (UE) 2022/2554 — DORA (sezioni rilevanti, estratti tradotti in italiano)</w:t>
            </w:r>
            <w:r>
              <w:rPr>
                <w:noProof/>
                <w:webHidden/>
              </w:rPr>
              <w:tab/>
            </w:r>
            <w:r>
              <w:rPr>
                <w:noProof/>
                <w:webHidden/>
              </w:rPr>
              <w:fldChar w:fldCharType="begin"/>
            </w:r>
            <w:r>
              <w:rPr>
                <w:noProof/>
                <w:webHidden/>
              </w:rPr>
              <w:instrText xml:space="preserve"> PAGEREF _Toc211923392 \h </w:instrText>
            </w:r>
            <w:r>
              <w:rPr>
                <w:noProof/>
                <w:webHidden/>
              </w:rPr>
            </w:r>
            <w:r>
              <w:rPr>
                <w:noProof/>
                <w:webHidden/>
              </w:rPr>
              <w:fldChar w:fldCharType="separate"/>
            </w:r>
            <w:r w:rsidR="007B5FAA">
              <w:rPr>
                <w:noProof/>
                <w:webHidden/>
              </w:rPr>
              <w:t>7</w:t>
            </w:r>
            <w:r>
              <w:rPr>
                <w:noProof/>
                <w:webHidden/>
              </w:rPr>
              <w:fldChar w:fldCharType="end"/>
            </w:r>
          </w:hyperlink>
        </w:p>
        <w:p w14:paraId="011C6938" w14:textId="58BE6BAE" w:rsidR="00A2164E" w:rsidRDefault="00A2164E">
          <w:r>
            <w:rPr>
              <w:b/>
              <w:bCs/>
              <w:noProof/>
            </w:rPr>
            <w:fldChar w:fldCharType="end"/>
          </w:r>
        </w:p>
      </w:sdtContent>
    </w:sdt>
    <w:p w14:paraId="3D66B5FE" w14:textId="77777777" w:rsidR="00A2164E" w:rsidRDefault="00A2164E" w:rsidP="00A2164E">
      <w:pPr>
        <w:rPr>
          <w:sz w:val="32"/>
          <w:szCs w:val="32"/>
          <w:highlight w:val="cyan"/>
        </w:rPr>
      </w:pPr>
    </w:p>
    <w:p w14:paraId="300B06BF" w14:textId="6271670F" w:rsidR="00F31F45" w:rsidRDefault="00F31F45">
      <w:pPr>
        <w:rPr>
          <w:sz w:val="32"/>
          <w:szCs w:val="32"/>
          <w:highlight w:val="cyan"/>
        </w:rPr>
      </w:pPr>
      <w:r>
        <w:rPr>
          <w:sz w:val="32"/>
          <w:szCs w:val="32"/>
          <w:highlight w:val="cyan"/>
        </w:rPr>
        <w:br w:type="page"/>
      </w:r>
    </w:p>
    <w:p w14:paraId="204521CB" w14:textId="77777777" w:rsidR="00F31F45" w:rsidRDefault="00F31F45" w:rsidP="00F31F45">
      <w:pPr>
        <w:rPr>
          <w:sz w:val="22"/>
          <w:szCs w:val="22"/>
        </w:rPr>
      </w:pPr>
    </w:p>
    <w:p w14:paraId="172E3553" w14:textId="77777777" w:rsidR="00F31F45" w:rsidRDefault="00F31F45" w:rsidP="00F31F45">
      <w:pPr>
        <w:pStyle w:val="Titolo1"/>
        <w:rPr>
          <w:rFonts w:eastAsia="Aptos"/>
        </w:rPr>
      </w:pPr>
      <w:bookmarkStart w:id="0" w:name="_Toc211923385"/>
      <w:r w:rsidRPr="3DD37099">
        <w:rPr>
          <w:rFonts w:eastAsia="Aptos"/>
        </w:rPr>
        <w:t>Sintesi esecutiva</w:t>
      </w:r>
      <w:bookmarkEnd w:id="0"/>
    </w:p>
    <w:p w14:paraId="62C07D0E" w14:textId="77777777" w:rsidR="00F31F45" w:rsidRDefault="00F31F45" w:rsidP="00F31F45">
      <w:pPr>
        <w:spacing w:before="240" w:after="240"/>
        <w:rPr>
          <w:rFonts w:ascii="Aptos" w:eastAsia="Aptos" w:hAnsi="Aptos" w:cs="Aptos"/>
          <w:sz w:val="22"/>
          <w:szCs w:val="22"/>
        </w:rPr>
      </w:pPr>
      <w:r w:rsidRPr="3DD37099">
        <w:rPr>
          <w:rFonts w:ascii="Aptos" w:eastAsia="Aptos" w:hAnsi="Aptos" w:cs="Aptos"/>
          <w:b/>
          <w:bCs/>
          <w:sz w:val="22"/>
          <w:szCs w:val="22"/>
        </w:rPr>
        <w:t>Stato generale.</w:t>
      </w:r>
      <w:r w:rsidRPr="3DD37099">
        <w:rPr>
          <w:rFonts w:ascii="Aptos" w:eastAsia="Aptos" w:hAnsi="Aptos" w:cs="Aptos"/>
          <w:sz w:val="22"/>
          <w:szCs w:val="22"/>
        </w:rPr>
        <w:t xml:space="preserve"> Il Regolamento sulle esternalizzazioni di Contoso e la Procedura Gestione Incidenti coprono molte tematiche chiave previste da DORA (definizione/componente critica, due diligence, clausole contrattuali di base, diritti di accesso/audit, piani di uscita e SLA/continuità; v. estratti Regolamento Contoso [1], [2], [9], [10], [11], [12], [13], [15], [16]). Emergono però </w:t>
      </w:r>
      <w:r w:rsidRPr="3DD37099">
        <w:rPr>
          <w:rFonts w:ascii="Aptos" w:eastAsia="Aptos" w:hAnsi="Aptos" w:cs="Aptos"/>
          <w:b/>
          <w:bCs/>
          <w:sz w:val="22"/>
          <w:szCs w:val="22"/>
        </w:rPr>
        <w:t>gap rilevanti</w:t>
      </w:r>
      <w:r w:rsidRPr="3DD37099">
        <w:rPr>
          <w:rFonts w:ascii="Aptos" w:eastAsia="Aptos" w:hAnsi="Aptos" w:cs="Aptos"/>
          <w:sz w:val="22"/>
          <w:szCs w:val="22"/>
        </w:rPr>
        <w:t xml:space="preserve"> rispetto a requisiti più stringenti di DORA su testing obbligatorio, armonizzazione del reporting, obblighi contrattuali specifici e integrazione sistematica delle risultanze di test e analisi post-incidente nel risk management ICT (v. DORA [1], [3], [6], [7], [8], [9], [10]).</w:t>
      </w:r>
    </w:p>
    <w:p w14:paraId="0D8A5C01" w14:textId="77777777" w:rsidR="00F31F45" w:rsidRDefault="00F31F45" w:rsidP="00F31F45">
      <w:pPr>
        <w:spacing w:before="240" w:after="240"/>
        <w:rPr>
          <w:rFonts w:ascii="Aptos" w:eastAsia="Aptos" w:hAnsi="Aptos" w:cs="Aptos"/>
          <w:sz w:val="22"/>
          <w:szCs w:val="22"/>
        </w:rPr>
      </w:pPr>
      <w:r w:rsidRPr="3DD37099">
        <w:rPr>
          <w:rFonts w:ascii="Aptos" w:eastAsia="Aptos" w:hAnsi="Aptos" w:cs="Aptos"/>
          <w:b/>
          <w:bCs/>
          <w:sz w:val="22"/>
          <w:szCs w:val="22"/>
        </w:rPr>
        <w:t>Principali gap rispetto a DORA</w:t>
      </w:r>
      <w:r w:rsidRPr="3DD37099">
        <w:rPr>
          <w:rFonts w:ascii="Aptos" w:eastAsia="Aptos" w:hAnsi="Aptos" w:cs="Aptos"/>
          <w:sz w:val="22"/>
          <w:szCs w:val="22"/>
        </w:rPr>
        <w:t xml:space="preserve"> (requisito DORA → stato/assenza su Contoso → citazioni)</w:t>
      </w:r>
    </w:p>
    <w:p w14:paraId="0FF844A5" w14:textId="77777777" w:rsidR="00F31F45" w:rsidRDefault="00F31F45" w:rsidP="00F31F45">
      <w:pPr>
        <w:pStyle w:val="Paragrafoelenco"/>
        <w:numPr>
          <w:ilvl w:val="0"/>
          <w:numId w:val="3"/>
        </w:numPr>
        <w:spacing w:before="240" w:after="240"/>
        <w:rPr>
          <w:rFonts w:ascii="Aptos" w:eastAsia="Aptos" w:hAnsi="Aptos" w:cs="Aptos"/>
          <w:b/>
          <w:bCs/>
          <w:sz w:val="22"/>
          <w:szCs w:val="22"/>
        </w:rPr>
      </w:pPr>
      <w:r w:rsidRPr="3DD37099">
        <w:rPr>
          <w:rFonts w:ascii="Aptos" w:eastAsia="Aptos" w:hAnsi="Aptos" w:cs="Aptos"/>
          <w:b/>
          <w:bCs/>
          <w:sz w:val="22"/>
          <w:szCs w:val="22"/>
        </w:rPr>
        <w:t>Partecipazione del fornitore ai TLPT/esercitazioni dell’ente.</w:t>
      </w:r>
      <w:r>
        <w:br/>
      </w:r>
      <w:r w:rsidRPr="3DD37099">
        <w:rPr>
          <w:rFonts w:ascii="Aptos" w:eastAsia="Aptos" w:hAnsi="Aptos" w:cs="Aptos"/>
          <w:sz w:val="22"/>
          <w:szCs w:val="22"/>
        </w:rPr>
        <w:t xml:space="preserve"> — </w:t>
      </w:r>
      <w:r w:rsidRPr="3DD37099">
        <w:rPr>
          <w:rFonts w:ascii="Aptos" w:eastAsia="Aptos" w:hAnsi="Aptos" w:cs="Aptos"/>
          <w:i/>
          <w:iCs/>
          <w:sz w:val="22"/>
          <w:szCs w:val="22"/>
        </w:rPr>
        <w:t>DORA:</w:t>
      </w:r>
      <w:r w:rsidRPr="3DD37099">
        <w:rPr>
          <w:rFonts w:ascii="Aptos" w:eastAsia="Aptos" w:hAnsi="Aptos" w:cs="Aptos"/>
          <w:sz w:val="22"/>
          <w:szCs w:val="22"/>
        </w:rPr>
        <w:t xml:space="preserve"> obbligo contrattuale di «partecipare e cooperare pienamente» nei TLPT e nei test per funzioni critiche ([3], [6]).</w:t>
      </w:r>
      <w:r>
        <w:br/>
      </w:r>
      <w:r w:rsidRPr="3DD37099">
        <w:rPr>
          <w:rFonts w:ascii="Aptos" w:eastAsia="Aptos" w:hAnsi="Aptos" w:cs="Aptos"/>
          <w:sz w:val="22"/>
          <w:szCs w:val="22"/>
        </w:rPr>
        <w:t xml:space="preserve"> — </w:t>
      </w:r>
      <w:r w:rsidRPr="3DD37099">
        <w:rPr>
          <w:rFonts w:ascii="Aptos" w:eastAsia="Aptos" w:hAnsi="Aptos" w:cs="Aptos"/>
          <w:i/>
          <w:iCs/>
          <w:sz w:val="22"/>
          <w:szCs w:val="22"/>
        </w:rPr>
        <w:t>Contoso:</w:t>
      </w:r>
      <w:r w:rsidRPr="3DD37099">
        <w:rPr>
          <w:rFonts w:ascii="Aptos" w:eastAsia="Aptos" w:hAnsi="Aptos" w:cs="Aptos"/>
          <w:sz w:val="22"/>
          <w:szCs w:val="22"/>
        </w:rPr>
        <w:t xml:space="preserve"> diritti di audit/coop. generale presenti, ma non obbligo esplicito di partecipazione ai TLPT (manca menzione specifica).</w:t>
      </w:r>
      <w:r>
        <w:br/>
      </w:r>
      <w:r w:rsidRPr="3DD37099">
        <w:rPr>
          <w:rFonts w:ascii="Aptos" w:eastAsia="Aptos" w:hAnsi="Aptos" w:cs="Aptos"/>
          <w:sz w:val="22"/>
          <w:szCs w:val="22"/>
        </w:rPr>
        <w:t xml:space="preserve"> — </w:t>
      </w:r>
      <w:r w:rsidRPr="3DD37099">
        <w:rPr>
          <w:rFonts w:ascii="Aptos" w:eastAsia="Aptos" w:hAnsi="Aptos" w:cs="Aptos"/>
          <w:i/>
          <w:iCs/>
          <w:sz w:val="22"/>
          <w:szCs w:val="22"/>
        </w:rPr>
        <w:t>Rif.:</w:t>
      </w:r>
      <w:r w:rsidRPr="3DD37099">
        <w:rPr>
          <w:rFonts w:ascii="Aptos" w:eastAsia="Aptos" w:hAnsi="Aptos" w:cs="Aptos"/>
          <w:sz w:val="22"/>
          <w:szCs w:val="22"/>
        </w:rPr>
        <w:t xml:space="preserve"> DORA [6]; Reg. Contoso [9], [10], [15]. → </w:t>
      </w:r>
      <w:r w:rsidRPr="3DD37099">
        <w:rPr>
          <w:rFonts w:ascii="Aptos" w:eastAsia="Aptos" w:hAnsi="Aptos" w:cs="Aptos"/>
          <w:b/>
          <w:bCs/>
          <w:sz w:val="22"/>
          <w:szCs w:val="22"/>
        </w:rPr>
        <w:t>Gap.</w:t>
      </w:r>
    </w:p>
    <w:p w14:paraId="426E1CD9" w14:textId="77777777" w:rsidR="00F31F45" w:rsidRDefault="00F31F45" w:rsidP="00F31F45">
      <w:pPr>
        <w:pStyle w:val="Paragrafoelenco"/>
        <w:numPr>
          <w:ilvl w:val="0"/>
          <w:numId w:val="3"/>
        </w:numPr>
        <w:spacing w:before="240" w:after="240"/>
        <w:rPr>
          <w:rFonts w:ascii="Aptos" w:eastAsia="Aptos" w:hAnsi="Aptos" w:cs="Aptos"/>
          <w:b/>
          <w:bCs/>
          <w:sz w:val="22"/>
          <w:szCs w:val="22"/>
        </w:rPr>
      </w:pPr>
      <w:r w:rsidRPr="3DD37099">
        <w:rPr>
          <w:rFonts w:ascii="Aptos" w:eastAsia="Aptos" w:hAnsi="Aptos" w:cs="Aptos"/>
          <w:b/>
          <w:bCs/>
          <w:sz w:val="22"/>
          <w:szCs w:val="22"/>
        </w:rPr>
        <w:t>Obbligo di implementare e testare piani di Business Continuity/contingency con requisiti di testing e reporting.</w:t>
      </w:r>
      <w:r>
        <w:br/>
      </w:r>
      <w:r w:rsidRPr="3DD37099">
        <w:rPr>
          <w:rFonts w:ascii="Aptos" w:eastAsia="Aptos" w:hAnsi="Aptos" w:cs="Aptos"/>
          <w:sz w:val="22"/>
          <w:szCs w:val="22"/>
        </w:rPr>
        <w:t xml:space="preserve"> — </w:t>
      </w:r>
      <w:r w:rsidRPr="3DD37099">
        <w:rPr>
          <w:rFonts w:ascii="Aptos" w:eastAsia="Aptos" w:hAnsi="Aptos" w:cs="Aptos"/>
          <w:i/>
          <w:iCs/>
          <w:sz w:val="22"/>
          <w:szCs w:val="22"/>
        </w:rPr>
        <w:t>DORA:</w:t>
      </w:r>
      <w:r w:rsidRPr="3DD37099">
        <w:rPr>
          <w:rFonts w:ascii="Aptos" w:eastAsia="Aptos" w:hAnsi="Aptos" w:cs="Aptos"/>
          <w:sz w:val="22"/>
          <w:szCs w:val="22"/>
        </w:rPr>
        <w:t xml:space="preserve"> requisiti contrattuali e test periodici, </w:t>
      </w:r>
      <w:proofErr w:type="spellStart"/>
      <w:r w:rsidRPr="3DD37099">
        <w:rPr>
          <w:rFonts w:ascii="Aptos" w:eastAsia="Aptos" w:hAnsi="Aptos" w:cs="Aptos"/>
          <w:sz w:val="22"/>
          <w:szCs w:val="22"/>
        </w:rPr>
        <w:t>incl</w:t>
      </w:r>
      <w:proofErr w:type="spellEnd"/>
      <w:r w:rsidRPr="3DD37099">
        <w:rPr>
          <w:rFonts w:ascii="Aptos" w:eastAsia="Aptos" w:hAnsi="Aptos" w:cs="Aptos"/>
          <w:sz w:val="22"/>
          <w:szCs w:val="22"/>
        </w:rPr>
        <w:t>. congiunti ([6], [7]).</w:t>
      </w:r>
      <w:r>
        <w:br/>
      </w:r>
      <w:r w:rsidRPr="3DD37099">
        <w:rPr>
          <w:rFonts w:ascii="Aptos" w:eastAsia="Aptos" w:hAnsi="Aptos" w:cs="Aptos"/>
          <w:sz w:val="22"/>
          <w:szCs w:val="22"/>
        </w:rPr>
        <w:t xml:space="preserve"> — </w:t>
      </w:r>
      <w:r w:rsidRPr="3DD37099">
        <w:rPr>
          <w:rFonts w:ascii="Aptos" w:eastAsia="Aptos" w:hAnsi="Aptos" w:cs="Aptos"/>
          <w:i/>
          <w:iCs/>
          <w:sz w:val="22"/>
          <w:szCs w:val="22"/>
        </w:rPr>
        <w:t>Contoso:</w:t>
      </w:r>
      <w:r w:rsidRPr="3DD37099">
        <w:rPr>
          <w:rFonts w:ascii="Aptos" w:eastAsia="Aptos" w:hAnsi="Aptos" w:cs="Aptos"/>
          <w:sz w:val="22"/>
          <w:szCs w:val="22"/>
        </w:rPr>
        <w:t xml:space="preserve"> continuità prevista e possibilità di verifiche ([16]); mancano cadenze/test report obbligatori. Procedura: assenza dettagli su DR ([11]).</w:t>
      </w:r>
      <w:r>
        <w:br/>
      </w:r>
      <w:r w:rsidRPr="3DD37099">
        <w:rPr>
          <w:rFonts w:ascii="Aptos" w:eastAsia="Aptos" w:hAnsi="Aptos" w:cs="Aptos"/>
          <w:sz w:val="22"/>
          <w:szCs w:val="22"/>
        </w:rPr>
        <w:t xml:space="preserve"> — </w:t>
      </w:r>
      <w:r w:rsidRPr="3DD37099">
        <w:rPr>
          <w:rFonts w:ascii="Aptos" w:eastAsia="Aptos" w:hAnsi="Aptos" w:cs="Aptos"/>
          <w:i/>
          <w:iCs/>
          <w:sz w:val="22"/>
          <w:szCs w:val="22"/>
        </w:rPr>
        <w:t>Rif.:</w:t>
      </w:r>
      <w:r w:rsidRPr="3DD37099">
        <w:rPr>
          <w:rFonts w:ascii="Aptos" w:eastAsia="Aptos" w:hAnsi="Aptos" w:cs="Aptos"/>
          <w:sz w:val="22"/>
          <w:szCs w:val="22"/>
        </w:rPr>
        <w:t xml:space="preserve"> DORA [6], [7]; Reg. Contoso [16]; Procedura [11]. → </w:t>
      </w:r>
      <w:r w:rsidRPr="3DD37099">
        <w:rPr>
          <w:rFonts w:ascii="Aptos" w:eastAsia="Aptos" w:hAnsi="Aptos" w:cs="Aptos"/>
          <w:b/>
          <w:bCs/>
          <w:sz w:val="22"/>
          <w:szCs w:val="22"/>
        </w:rPr>
        <w:t>Gap.</w:t>
      </w:r>
    </w:p>
    <w:p w14:paraId="15557F6F" w14:textId="77777777" w:rsidR="00F31F45" w:rsidRDefault="00F31F45" w:rsidP="00F31F45">
      <w:pPr>
        <w:pStyle w:val="Paragrafoelenco"/>
        <w:numPr>
          <w:ilvl w:val="0"/>
          <w:numId w:val="3"/>
        </w:numPr>
        <w:spacing w:before="240" w:after="240"/>
        <w:rPr>
          <w:rFonts w:ascii="Aptos" w:eastAsia="Aptos" w:hAnsi="Aptos" w:cs="Aptos"/>
          <w:b/>
          <w:bCs/>
          <w:sz w:val="22"/>
          <w:szCs w:val="22"/>
        </w:rPr>
      </w:pPr>
      <w:r w:rsidRPr="3DD37099">
        <w:rPr>
          <w:rFonts w:ascii="Aptos" w:eastAsia="Aptos" w:hAnsi="Aptos" w:cs="Aptos"/>
          <w:b/>
          <w:bCs/>
          <w:sz w:val="22"/>
          <w:szCs w:val="22"/>
        </w:rPr>
        <w:t>Armonizzazione di contenuti, tempistiche e modelli di notifica degli incidenti alle autorità.</w:t>
      </w:r>
      <w:r>
        <w:br/>
      </w:r>
      <w:r w:rsidRPr="3DD37099">
        <w:rPr>
          <w:rFonts w:ascii="Aptos" w:eastAsia="Aptos" w:hAnsi="Aptos" w:cs="Aptos"/>
          <w:sz w:val="22"/>
          <w:szCs w:val="22"/>
        </w:rPr>
        <w:t xml:space="preserve"> — </w:t>
      </w:r>
      <w:r w:rsidRPr="3DD37099">
        <w:rPr>
          <w:rFonts w:ascii="Aptos" w:eastAsia="Aptos" w:hAnsi="Aptos" w:cs="Aptos"/>
          <w:i/>
          <w:iCs/>
          <w:sz w:val="22"/>
          <w:szCs w:val="22"/>
        </w:rPr>
        <w:t>DORA:</w:t>
      </w:r>
      <w:r w:rsidRPr="3DD37099">
        <w:rPr>
          <w:rFonts w:ascii="Aptos" w:eastAsia="Aptos" w:hAnsi="Aptos" w:cs="Aptos"/>
          <w:sz w:val="22"/>
          <w:szCs w:val="22"/>
        </w:rPr>
        <w:t xml:space="preserve"> quadro armonizzato (Art. 19/20) con tempi e template ([10], [11]).</w:t>
      </w:r>
      <w:r>
        <w:br/>
      </w:r>
      <w:r w:rsidRPr="3DD37099">
        <w:rPr>
          <w:rFonts w:ascii="Aptos" w:eastAsia="Aptos" w:hAnsi="Aptos" w:cs="Aptos"/>
          <w:sz w:val="22"/>
          <w:szCs w:val="22"/>
        </w:rPr>
        <w:t xml:space="preserve"> — </w:t>
      </w:r>
      <w:r w:rsidRPr="3DD37099">
        <w:rPr>
          <w:rFonts w:ascii="Aptos" w:eastAsia="Aptos" w:hAnsi="Aptos" w:cs="Aptos"/>
          <w:i/>
          <w:iCs/>
          <w:sz w:val="22"/>
          <w:szCs w:val="22"/>
        </w:rPr>
        <w:t>Contoso:</w:t>
      </w:r>
      <w:r w:rsidRPr="3DD37099">
        <w:rPr>
          <w:rFonts w:ascii="Aptos" w:eastAsia="Aptos" w:hAnsi="Aptos" w:cs="Aptos"/>
          <w:sz w:val="22"/>
          <w:szCs w:val="22"/>
        </w:rPr>
        <w:t xml:space="preserve"> segnalazione a Bankit e flussi interni ([1], [3], [4]), ma non template/timeline DORA.</w:t>
      </w:r>
      <w:r>
        <w:br/>
      </w:r>
      <w:r w:rsidRPr="3DD37099">
        <w:rPr>
          <w:rFonts w:ascii="Aptos" w:eastAsia="Aptos" w:hAnsi="Aptos" w:cs="Aptos"/>
          <w:sz w:val="22"/>
          <w:szCs w:val="22"/>
        </w:rPr>
        <w:t xml:space="preserve"> — </w:t>
      </w:r>
      <w:r w:rsidRPr="3DD37099">
        <w:rPr>
          <w:rFonts w:ascii="Aptos" w:eastAsia="Aptos" w:hAnsi="Aptos" w:cs="Aptos"/>
          <w:i/>
          <w:iCs/>
          <w:sz w:val="22"/>
          <w:szCs w:val="22"/>
        </w:rPr>
        <w:t>Rif.:</w:t>
      </w:r>
      <w:r w:rsidRPr="3DD37099">
        <w:rPr>
          <w:rFonts w:ascii="Aptos" w:eastAsia="Aptos" w:hAnsi="Aptos" w:cs="Aptos"/>
          <w:sz w:val="22"/>
          <w:szCs w:val="22"/>
        </w:rPr>
        <w:t xml:space="preserve"> DORA [10], [11]; Procedura [1], [3], [4]. → </w:t>
      </w:r>
      <w:r w:rsidRPr="3DD37099">
        <w:rPr>
          <w:rFonts w:ascii="Aptos" w:eastAsia="Aptos" w:hAnsi="Aptos" w:cs="Aptos"/>
          <w:b/>
          <w:bCs/>
          <w:sz w:val="22"/>
          <w:szCs w:val="22"/>
        </w:rPr>
        <w:t>Gap.</w:t>
      </w:r>
    </w:p>
    <w:p w14:paraId="0C068D8F" w14:textId="77777777" w:rsidR="00F31F45" w:rsidRDefault="00F31F45" w:rsidP="00F31F45">
      <w:pPr>
        <w:pStyle w:val="Paragrafoelenco"/>
        <w:numPr>
          <w:ilvl w:val="0"/>
          <w:numId w:val="3"/>
        </w:numPr>
        <w:spacing w:before="240" w:after="240"/>
        <w:rPr>
          <w:rFonts w:ascii="Aptos" w:eastAsia="Aptos" w:hAnsi="Aptos" w:cs="Aptos"/>
          <w:b/>
          <w:bCs/>
          <w:sz w:val="22"/>
          <w:szCs w:val="22"/>
        </w:rPr>
      </w:pPr>
      <w:r w:rsidRPr="3DD37099">
        <w:rPr>
          <w:rFonts w:ascii="Aptos" w:eastAsia="Aptos" w:hAnsi="Aptos" w:cs="Aptos"/>
          <w:b/>
          <w:bCs/>
          <w:sz w:val="22"/>
          <w:szCs w:val="22"/>
        </w:rPr>
        <w:t xml:space="preserve">Requisiti contrattuali su risoluzione/preavvisi minimi e applicabilità in </w:t>
      </w:r>
      <w:proofErr w:type="spellStart"/>
      <w:r w:rsidRPr="3DD37099">
        <w:rPr>
          <w:rFonts w:ascii="Aptos" w:eastAsia="Aptos" w:hAnsi="Aptos" w:cs="Aptos"/>
          <w:b/>
          <w:bCs/>
          <w:sz w:val="22"/>
          <w:szCs w:val="22"/>
        </w:rPr>
        <w:t>resolution</w:t>
      </w:r>
      <w:proofErr w:type="spellEnd"/>
      <w:r w:rsidRPr="3DD37099">
        <w:rPr>
          <w:rFonts w:ascii="Aptos" w:eastAsia="Aptos" w:hAnsi="Aptos" w:cs="Aptos"/>
          <w:b/>
          <w:bCs/>
          <w:sz w:val="22"/>
          <w:szCs w:val="22"/>
        </w:rPr>
        <w:t>.</w:t>
      </w:r>
      <w:r>
        <w:br/>
      </w:r>
      <w:r w:rsidRPr="3DD37099">
        <w:rPr>
          <w:rFonts w:ascii="Aptos" w:eastAsia="Aptos" w:hAnsi="Aptos" w:cs="Aptos"/>
          <w:sz w:val="22"/>
          <w:szCs w:val="22"/>
        </w:rPr>
        <w:t xml:space="preserve"> — </w:t>
      </w:r>
      <w:r w:rsidRPr="3DD37099">
        <w:rPr>
          <w:rFonts w:ascii="Aptos" w:eastAsia="Aptos" w:hAnsi="Aptos" w:cs="Aptos"/>
          <w:i/>
          <w:iCs/>
          <w:sz w:val="22"/>
          <w:szCs w:val="22"/>
        </w:rPr>
        <w:t>DORA:</w:t>
      </w:r>
      <w:r w:rsidRPr="3DD37099">
        <w:rPr>
          <w:rFonts w:ascii="Aptos" w:eastAsia="Aptos" w:hAnsi="Aptos" w:cs="Aptos"/>
          <w:sz w:val="22"/>
          <w:szCs w:val="22"/>
        </w:rPr>
        <w:t xml:space="preserve"> diritti di terminazione e periodi minimi in linea con autorità; </w:t>
      </w:r>
      <w:proofErr w:type="spellStart"/>
      <w:r w:rsidRPr="3DD37099">
        <w:rPr>
          <w:rFonts w:ascii="Aptos" w:eastAsia="Aptos" w:hAnsi="Aptos" w:cs="Aptos"/>
          <w:sz w:val="22"/>
          <w:szCs w:val="22"/>
        </w:rPr>
        <w:t>enforceability</w:t>
      </w:r>
      <w:proofErr w:type="spellEnd"/>
      <w:r w:rsidRPr="3DD37099">
        <w:rPr>
          <w:rFonts w:ascii="Aptos" w:eastAsia="Aptos" w:hAnsi="Aptos" w:cs="Aptos"/>
          <w:sz w:val="22"/>
          <w:szCs w:val="22"/>
        </w:rPr>
        <w:t xml:space="preserve"> in </w:t>
      </w:r>
      <w:proofErr w:type="spellStart"/>
      <w:r w:rsidRPr="3DD37099">
        <w:rPr>
          <w:rFonts w:ascii="Aptos" w:eastAsia="Aptos" w:hAnsi="Aptos" w:cs="Aptos"/>
          <w:sz w:val="22"/>
          <w:szCs w:val="22"/>
        </w:rPr>
        <w:t>resolution</w:t>
      </w:r>
      <w:proofErr w:type="spellEnd"/>
      <w:r w:rsidRPr="3DD37099">
        <w:rPr>
          <w:rFonts w:ascii="Aptos" w:eastAsia="Aptos" w:hAnsi="Aptos" w:cs="Aptos"/>
          <w:sz w:val="22"/>
          <w:szCs w:val="22"/>
        </w:rPr>
        <w:t xml:space="preserve"> ([3], [5]).</w:t>
      </w:r>
      <w:r>
        <w:br/>
      </w:r>
      <w:r w:rsidRPr="3DD37099">
        <w:rPr>
          <w:rFonts w:ascii="Aptos" w:eastAsia="Aptos" w:hAnsi="Aptos" w:cs="Aptos"/>
          <w:sz w:val="22"/>
          <w:szCs w:val="22"/>
        </w:rPr>
        <w:t xml:space="preserve"> — </w:t>
      </w:r>
      <w:r w:rsidRPr="3DD37099">
        <w:rPr>
          <w:rFonts w:ascii="Aptos" w:eastAsia="Aptos" w:hAnsi="Aptos" w:cs="Aptos"/>
          <w:i/>
          <w:iCs/>
          <w:sz w:val="22"/>
          <w:szCs w:val="22"/>
        </w:rPr>
        <w:t>Contoso:</w:t>
      </w:r>
      <w:r w:rsidRPr="3DD37099">
        <w:rPr>
          <w:rFonts w:ascii="Aptos" w:eastAsia="Aptos" w:hAnsi="Aptos" w:cs="Aptos"/>
          <w:sz w:val="22"/>
          <w:szCs w:val="22"/>
        </w:rPr>
        <w:t xml:space="preserve"> clausole di exit/transfer presenti ([11], [12], [13]), ma senza espliciti periodi minimi/allineamento alla </w:t>
      </w:r>
      <w:proofErr w:type="spellStart"/>
      <w:r w:rsidRPr="3DD37099">
        <w:rPr>
          <w:rFonts w:ascii="Aptos" w:eastAsia="Aptos" w:hAnsi="Aptos" w:cs="Aptos"/>
          <w:sz w:val="22"/>
          <w:szCs w:val="22"/>
        </w:rPr>
        <w:t>resolution</w:t>
      </w:r>
      <w:proofErr w:type="spellEnd"/>
      <w:r w:rsidRPr="3DD37099">
        <w:rPr>
          <w:rFonts w:ascii="Aptos" w:eastAsia="Aptos" w:hAnsi="Aptos" w:cs="Aptos"/>
          <w:sz w:val="22"/>
          <w:szCs w:val="22"/>
        </w:rPr>
        <w:t>.</w:t>
      </w:r>
      <w:r>
        <w:br/>
      </w:r>
      <w:r w:rsidRPr="3DD37099">
        <w:rPr>
          <w:rFonts w:ascii="Aptos" w:eastAsia="Aptos" w:hAnsi="Aptos" w:cs="Aptos"/>
          <w:sz w:val="22"/>
          <w:szCs w:val="22"/>
        </w:rPr>
        <w:t xml:space="preserve"> — </w:t>
      </w:r>
      <w:r w:rsidRPr="3DD37099">
        <w:rPr>
          <w:rFonts w:ascii="Aptos" w:eastAsia="Aptos" w:hAnsi="Aptos" w:cs="Aptos"/>
          <w:i/>
          <w:iCs/>
          <w:sz w:val="22"/>
          <w:szCs w:val="22"/>
        </w:rPr>
        <w:t>Rif.:</w:t>
      </w:r>
      <w:r w:rsidRPr="3DD37099">
        <w:rPr>
          <w:rFonts w:ascii="Aptos" w:eastAsia="Aptos" w:hAnsi="Aptos" w:cs="Aptos"/>
          <w:sz w:val="22"/>
          <w:szCs w:val="22"/>
        </w:rPr>
        <w:t xml:space="preserve"> DORA [3], [5]; Reg. Contoso [11], [12], [13]. → </w:t>
      </w:r>
      <w:r w:rsidRPr="3DD37099">
        <w:rPr>
          <w:rFonts w:ascii="Aptos" w:eastAsia="Aptos" w:hAnsi="Aptos" w:cs="Aptos"/>
          <w:b/>
          <w:bCs/>
          <w:sz w:val="22"/>
          <w:szCs w:val="22"/>
        </w:rPr>
        <w:t>Gap potenziale.</w:t>
      </w:r>
    </w:p>
    <w:p w14:paraId="72715E52" w14:textId="77777777" w:rsidR="00F31F45" w:rsidRDefault="00F31F45" w:rsidP="00F31F45">
      <w:pPr>
        <w:pStyle w:val="Paragrafoelenco"/>
        <w:numPr>
          <w:ilvl w:val="0"/>
          <w:numId w:val="3"/>
        </w:numPr>
        <w:spacing w:before="240" w:after="240"/>
        <w:rPr>
          <w:rFonts w:ascii="Aptos" w:eastAsia="Aptos" w:hAnsi="Aptos" w:cs="Aptos"/>
          <w:b/>
          <w:bCs/>
          <w:sz w:val="22"/>
          <w:szCs w:val="22"/>
        </w:rPr>
      </w:pPr>
      <w:r w:rsidRPr="3DD37099">
        <w:rPr>
          <w:rFonts w:ascii="Aptos" w:eastAsia="Aptos" w:hAnsi="Aptos" w:cs="Aptos"/>
          <w:b/>
          <w:bCs/>
          <w:sz w:val="22"/>
          <w:szCs w:val="22"/>
        </w:rPr>
        <w:t>BIA formale con mappatura interdipendenze/terze parti e ridondanza componenti critici.</w:t>
      </w:r>
      <w:r>
        <w:br/>
      </w:r>
      <w:r w:rsidRPr="3DD37099">
        <w:rPr>
          <w:rFonts w:ascii="Aptos" w:eastAsia="Aptos" w:hAnsi="Aptos" w:cs="Aptos"/>
          <w:sz w:val="22"/>
          <w:szCs w:val="22"/>
        </w:rPr>
        <w:t xml:space="preserve"> — </w:t>
      </w:r>
      <w:r w:rsidRPr="3DD37099">
        <w:rPr>
          <w:rFonts w:ascii="Aptos" w:eastAsia="Aptos" w:hAnsi="Aptos" w:cs="Aptos"/>
          <w:i/>
          <w:iCs/>
          <w:sz w:val="22"/>
          <w:szCs w:val="22"/>
        </w:rPr>
        <w:t>DORA:</w:t>
      </w:r>
      <w:r w:rsidRPr="3DD37099">
        <w:rPr>
          <w:rFonts w:ascii="Aptos" w:eastAsia="Aptos" w:hAnsi="Aptos" w:cs="Aptos"/>
          <w:sz w:val="22"/>
          <w:szCs w:val="22"/>
        </w:rPr>
        <w:t xml:space="preserve"> BIA obbligatoria e ridondanza adeguata ([7]).</w:t>
      </w:r>
      <w:r>
        <w:br/>
      </w:r>
      <w:r w:rsidRPr="3DD37099">
        <w:rPr>
          <w:rFonts w:ascii="Aptos" w:eastAsia="Aptos" w:hAnsi="Aptos" w:cs="Aptos"/>
          <w:sz w:val="22"/>
          <w:szCs w:val="22"/>
        </w:rPr>
        <w:t xml:space="preserve"> — </w:t>
      </w:r>
      <w:r w:rsidRPr="3DD37099">
        <w:rPr>
          <w:rFonts w:ascii="Aptos" w:eastAsia="Aptos" w:hAnsi="Aptos" w:cs="Aptos"/>
          <w:i/>
          <w:iCs/>
          <w:sz w:val="22"/>
          <w:szCs w:val="22"/>
        </w:rPr>
        <w:t>Contoso:</w:t>
      </w:r>
      <w:r w:rsidRPr="3DD37099">
        <w:rPr>
          <w:rFonts w:ascii="Aptos" w:eastAsia="Aptos" w:hAnsi="Aptos" w:cs="Aptos"/>
          <w:sz w:val="22"/>
          <w:szCs w:val="22"/>
        </w:rPr>
        <w:t xml:space="preserve"> valutazioni rischio e BC sì, ma non BIA strutturata negli estratti.</w:t>
      </w:r>
      <w:r>
        <w:br/>
      </w:r>
      <w:r w:rsidRPr="3DD37099">
        <w:rPr>
          <w:rFonts w:ascii="Aptos" w:eastAsia="Aptos" w:hAnsi="Aptos" w:cs="Aptos"/>
          <w:sz w:val="22"/>
          <w:szCs w:val="22"/>
        </w:rPr>
        <w:t xml:space="preserve"> — </w:t>
      </w:r>
      <w:r w:rsidRPr="3DD37099">
        <w:rPr>
          <w:rFonts w:ascii="Aptos" w:eastAsia="Aptos" w:hAnsi="Aptos" w:cs="Aptos"/>
          <w:i/>
          <w:iCs/>
          <w:sz w:val="22"/>
          <w:szCs w:val="22"/>
        </w:rPr>
        <w:t>Rif.:</w:t>
      </w:r>
      <w:r w:rsidRPr="3DD37099">
        <w:rPr>
          <w:rFonts w:ascii="Aptos" w:eastAsia="Aptos" w:hAnsi="Aptos" w:cs="Aptos"/>
          <w:sz w:val="22"/>
          <w:szCs w:val="22"/>
        </w:rPr>
        <w:t xml:space="preserve"> DORA [7]; Reg. Contoso [2], [16]. → </w:t>
      </w:r>
      <w:r w:rsidRPr="3DD37099">
        <w:rPr>
          <w:rFonts w:ascii="Aptos" w:eastAsia="Aptos" w:hAnsi="Aptos" w:cs="Aptos"/>
          <w:b/>
          <w:bCs/>
          <w:sz w:val="22"/>
          <w:szCs w:val="22"/>
        </w:rPr>
        <w:t>Gap.</w:t>
      </w:r>
    </w:p>
    <w:p w14:paraId="023C528C" w14:textId="77777777" w:rsidR="00F31F45" w:rsidRDefault="00F31F45" w:rsidP="00F31F45">
      <w:pPr>
        <w:pStyle w:val="Paragrafoelenco"/>
        <w:numPr>
          <w:ilvl w:val="0"/>
          <w:numId w:val="3"/>
        </w:numPr>
        <w:spacing w:before="240" w:after="240"/>
        <w:rPr>
          <w:rFonts w:ascii="Aptos" w:eastAsia="Aptos" w:hAnsi="Aptos" w:cs="Aptos"/>
          <w:b/>
          <w:bCs/>
          <w:sz w:val="22"/>
          <w:szCs w:val="22"/>
        </w:rPr>
      </w:pPr>
      <w:r w:rsidRPr="3DD37099">
        <w:rPr>
          <w:rFonts w:ascii="Aptos" w:eastAsia="Aptos" w:hAnsi="Aptos" w:cs="Aptos"/>
          <w:b/>
          <w:bCs/>
          <w:sz w:val="22"/>
          <w:szCs w:val="22"/>
        </w:rPr>
        <w:lastRenderedPageBreak/>
        <w:t>Adozione di standard di sicurezza “più aggiornati e di più elevata qualità” per fornitori di funzioni critiche.</w:t>
      </w:r>
      <w:r>
        <w:br/>
      </w:r>
      <w:r w:rsidRPr="3DD37099">
        <w:rPr>
          <w:rFonts w:ascii="Aptos" w:eastAsia="Aptos" w:hAnsi="Aptos" w:cs="Aptos"/>
          <w:sz w:val="22"/>
          <w:szCs w:val="22"/>
        </w:rPr>
        <w:t xml:space="preserve"> — </w:t>
      </w:r>
      <w:r w:rsidRPr="3DD37099">
        <w:rPr>
          <w:rFonts w:ascii="Aptos" w:eastAsia="Aptos" w:hAnsi="Aptos" w:cs="Aptos"/>
          <w:i/>
          <w:iCs/>
          <w:sz w:val="22"/>
          <w:szCs w:val="22"/>
        </w:rPr>
        <w:t>DORA:</w:t>
      </w:r>
      <w:r w:rsidRPr="3DD37099">
        <w:rPr>
          <w:rFonts w:ascii="Aptos" w:eastAsia="Aptos" w:hAnsi="Aptos" w:cs="Aptos"/>
          <w:sz w:val="22"/>
          <w:szCs w:val="22"/>
        </w:rPr>
        <w:t xml:space="preserve"> considerare uso dei migliori standard (es. standard internazionali aggiornati) ([2]).</w:t>
      </w:r>
      <w:r>
        <w:br/>
      </w:r>
      <w:r w:rsidRPr="3DD37099">
        <w:rPr>
          <w:rFonts w:ascii="Aptos" w:eastAsia="Aptos" w:hAnsi="Aptos" w:cs="Aptos"/>
          <w:sz w:val="22"/>
          <w:szCs w:val="22"/>
        </w:rPr>
        <w:t xml:space="preserve"> — </w:t>
      </w:r>
      <w:r w:rsidRPr="3DD37099">
        <w:rPr>
          <w:rFonts w:ascii="Aptos" w:eastAsia="Aptos" w:hAnsi="Aptos" w:cs="Aptos"/>
          <w:i/>
          <w:iCs/>
          <w:sz w:val="22"/>
          <w:szCs w:val="22"/>
        </w:rPr>
        <w:t>Contoso:</w:t>
      </w:r>
      <w:r w:rsidRPr="3DD37099">
        <w:rPr>
          <w:rFonts w:ascii="Aptos" w:eastAsia="Aptos" w:hAnsi="Aptos" w:cs="Aptos"/>
          <w:sz w:val="22"/>
          <w:szCs w:val="22"/>
        </w:rPr>
        <w:t xml:space="preserve"> obbligo di aderire alla policy interna ([6]) ma senza richiamo esplicito a standard esterni aggiornati.</w:t>
      </w:r>
      <w:r>
        <w:br/>
      </w:r>
      <w:r w:rsidRPr="3DD37099">
        <w:rPr>
          <w:rFonts w:ascii="Aptos" w:eastAsia="Aptos" w:hAnsi="Aptos" w:cs="Aptos"/>
          <w:sz w:val="22"/>
          <w:szCs w:val="22"/>
        </w:rPr>
        <w:t xml:space="preserve"> — </w:t>
      </w:r>
      <w:r w:rsidRPr="3DD37099">
        <w:rPr>
          <w:rFonts w:ascii="Aptos" w:eastAsia="Aptos" w:hAnsi="Aptos" w:cs="Aptos"/>
          <w:i/>
          <w:iCs/>
          <w:sz w:val="22"/>
          <w:szCs w:val="22"/>
        </w:rPr>
        <w:t>Rif.:</w:t>
      </w:r>
      <w:r w:rsidRPr="3DD37099">
        <w:rPr>
          <w:rFonts w:ascii="Aptos" w:eastAsia="Aptos" w:hAnsi="Aptos" w:cs="Aptos"/>
          <w:sz w:val="22"/>
          <w:szCs w:val="22"/>
        </w:rPr>
        <w:t xml:space="preserve"> DORA [2]; Reg. Contoso [6]. → </w:t>
      </w:r>
      <w:r w:rsidRPr="3DD37099">
        <w:rPr>
          <w:rFonts w:ascii="Aptos" w:eastAsia="Aptos" w:hAnsi="Aptos" w:cs="Aptos"/>
          <w:b/>
          <w:bCs/>
          <w:sz w:val="22"/>
          <w:szCs w:val="22"/>
        </w:rPr>
        <w:t>Gap.</w:t>
      </w:r>
    </w:p>
    <w:p w14:paraId="5F3787EB" w14:textId="77777777" w:rsidR="00F31F45" w:rsidRDefault="00F31F45" w:rsidP="00F31F45">
      <w:pPr>
        <w:pStyle w:val="Paragrafoelenco"/>
        <w:numPr>
          <w:ilvl w:val="0"/>
          <w:numId w:val="3"/>
        </w:numPr>
        <w:spacing w:before="240" w:after="240"/>
        <w:rPr>
          <w:rFonts w:ascii="Aptos" w:eastAsia="Aptos" w:hAnsi="Aptos" w:cs="Aptos"/>
          <w:b/>
          <w:bCs/>
          <w:sz w:val="22"/>
          <w:szCs w:val="22"/>
        </w:rPr>
      </w:pPr>
      <w:r w:rsidRPr="3DD37099">
        <w:rPr>
          <w:rFonts w:ascii="Aptos" w:eastAsia="Aptos" w:hAnsi="Aptos" w:cs="Aptos"/>
          <w:b/>
          <w:bCs/>
          <w:sz w:val="22"/>
          <w:szCs w:val="22"/>
        </w:rPr>
        <w:t xml:space="preserve">Integrazione delle lezioni da test e post-incident nel risk </w:t>
      </w:r>
      <w:proofErr w:type="spellStart"/>
      <w:r w:rsidRPr="3DD37099">
        <w:rPr>
          <w:rFonts w:ascii="Aptos" w:eastAsia="Aptos" w:hAnsi="Aptos" w:cs="Aptos"/>
          <w:b/>
          <w:bCs/>
          <w:sz w:val="22"/>
          <w:szCs w:val="22"/>
        </w:rPr>
        <w:t>assessment</w:t>
      </w:r>
      <w:proofErr w:type="spellEnd"/>
      <w:r w:rsidRPr="3DD37099">
        <w:rPr>
          <w:rFonts w:ascii="Aptos" w:eastAsia="Aptos" w:hAnsi="Aptos" w:cs="Aptos"/>
          <w:b/>
          <w:bCs/>
          <w:sz w:val="22"/>
          <w:szCs w:val="22"/>
        </w:rPr>
        <w:t xml:space="preserve"> ICT e nella formazione.</w:t>
      </w:r>
      <w:r>
        <w:br/>
      </w:r>
      <w:r w:rsidRPr="3DD37099">
        <w:rPr>
          <w:rFonts w:ascii="Aptos" w:eastAsia="Aptos" w:hAnsi="Aptos" w:cs="Aptos"/>
          <w:sz w:val="22"/>
          <w:szCs w:val="22"/>
        </w:rPr>
        <w:t xml:space="preserve"> — </w:t>
      </w:r>
      <w:r w:rsidRPr="3DD37099">
        <w:rPr>
          <w:rFonts w:ascii="Aptos" w:eastAsia="Aptos" w:hAnsi="Aptos" w:cs="Aptos"/>
          <w:i/>
          <w:iCs/>
          <w:sz w:val="22"/>
          <w:szCs w:val="22"/>
        </w:rPr>
        <w:t>DORA:</w:t>
      </w:r>
      <w:r w:rsidRPr="3DD37099">
        <w:rPr>
          <w:rFonts w:ascii="Aptos" w:eastAsia="Aptos" w:hAnsi="Aptos" w:cs="Aptos"/>
          <w:sz w:val="22"/>
          <w:szCs w:val="22"/>
        </w:rPr>
        <w:t xml:space="preserve"> integrare risultati di test/post-incident e sviluppare programmi di </w:t>
      </w:r>
      <w:proofErr w:type="spellStart"/>
      <w:r w:rsidRPr="3DD37099">
        <w:rPr>
          <w:rFonts w:ascii="Aptos" w:eastAsia="Aptos" w:hAnsi="Aptos" w:cs="Aptos"/>
          <w:sz w:val="22"/>
          <w:szCs w:val="22"/>
        </w:rPr>
        <w:t>awareness</w:t>
      </w:r>
      <w:proofErr w:type="spellEnd"/>
      <w:r w:rsidRPr="3DD37099">
        <w:rPr>
          <w:rFonts w:ascii="Aptos" w:eastAsia="Aptos" w:hAnsi="Aptos" w:cs="Aptos"/>
          <w:sz w:val="22"/>
          <w:szCs w:val="22"/>
        </w:rPr>
        <w:t xml:space="preserve"> ([8], [9]).</w:t>
      </w:r>
      <w:r>
        <w:br/>
      </w:r>
      <w:r w:rsidRPr="3DD37099">
        <w:rPr>
          <w:rFonts w:ascii="Aptos" w:eastAsia="Aptos" w:hAnsi="Aptos" w:cs="Aptos"/>
          <w:sz w:val="22"/>
          <w:szCs w:val="22"/>
        </w:rPr>
        <w:t xml:space="preserve"> — </w:t>
      </w:r>
      <w:r w:rsidRPr="3DD37099">
        <w:rPr>
          <w:rFonts w:ascii="Aptos" w:eastAsia="Aptos" w:hAnsi="Aptos" w:cs="Aptos"/>
          <w:i/>
          <w:iCs/>
          <w:sz w:val="22"/>
          <w:szCs w:val="22"/>
        </w:rPr>
        <w:t>Contoso:</w:t>
      </w:r>
      <w:r w:rsidRPr="3DD37099">
        <w:rPr>
          <w:rFonts w:ascii="Aptos" w:eastAsia="Aptos" w:hAnsi="Aptos" w:cs="Aptos"/>
          <w:sz w:val="22"/>
          <w:szCs w:val="22"/>
        </w:rPr>
        <w:t xml:space="preserve"> analisi post-incident ([10]) e monitoraggio ([5]) presenti, ma manca prescrizione formale d’integrazione documentata e piano formativo dedicato.</w:t>
      </w:r>
      <w:r>
        <w:br/>
      </w:r>
      <w:r w:rsidRPr="3DD37099">
        <w:rPr>
          <w:rFonts w:ascii="Aptos" w:eastAsia="Aptos" w:hAnsi="Aptos" w:cs="Aptos"/>
          <w:sz w:val="22"/>
          <w:szCs w:val="22"/>
        </w:rPr>
        <w:t xml:space="preserve"> — </w:t>
      </w:r>
      <w:r w:rsidRPr="3DD37099">
        <w:rPr>
          <w:rFonts w:ascii="Aptos" w:eastAsia="Aptos" w:hAnsi="Aptos" w:cs="Aptos"/>
          <w:i/>
          <w:iCs/>
          <w:sz w:val="22"/>
          <w:szCs w:val="22"/>
        </w:rPr>
        <w:t>Rif.:</w:t>
      </w:r>
      <w:r w:rsidRPr="3DD37099">
        <w:rPr>
          <w:rFonts w:ascii="Aptos" w:eastAsia="Aptos" w:hAnsi="Aptos" w:cs="Aptos"/>
          <w:sz w:val="22"/>
          <w:szCs w:val="22"/>
        </w:rPr>
        <w:t xml:space="preserve"> DORA [8], [9]; Procedura [10]; Reg. Contoso [5]. → </w:t>
      </w:r>
      <w:r w:rsidRPr="3DD37099">
        <w:rPr>
          <w:rFonts w:ascii="Aptos" w:eastAsia="Aptos" w:hAnsi="Aptos" w:cs="Aptos"/>
          <w:b/>
          <w:bCs/>
          <w:sz w:val="22"/>
          <w:szCs w:val="22"/>
        </w:rPr>
        <w:t>Gap parziale.</w:t>
      </w:r>
    </w:p>
    <w:p w14:paraId="70663204" w14:textId="77777777" w:rsidR="00F31F45" w:rsidRDefault="00F31F45" w:rsidP="00F31F45">
      <w:pPr>
        <w:pStyle w:val="Paragrafoelenco"/>
        <w:numPr>
          <w:ilvl w:val="0"/>
          <w:numId w:val="3"/>
        </w:numPr>
        <w:spacing w:before="240" w:after="240"/>
        <w:rPr>
          <w:rFonts w:ascii="Aptos" w:eastAsia="Aptos" w:hAnsi="Aptos" w:cs="Aptos"/>
          <w:b/>
          <w:bCs/>
          <w:sz w:val="22"/>
          <w:szCs w:val="22"/>
        </w:rPr>
      </w:pPr>
      <w:r w:rsidRPr="3DD37099">
        <w:rPr>
          <w:rFonts w:ascii="Aptos" w:eastAsia="Aptos" w:hAnsi="Aptos" w:cs="Aptos"/>
          <w:b/>
          <w:bCs/>
          <w:sz w:val="22"/>
          <w:szCs w:val="22"/>
        </w:rPr>
        <w:t>Reporting periodico strutturato e template per monitorare fornitori critici.</w:t>
      </w:r>
      <w:r>
        <w:br/>
      </w:r>
      <w:r w:rsidRPr="3DD37099">
        <w:rPr>
          <w:rFonts w:ascii="Aptos" w:eastAsia="Aptos" w:hAnsi="Aptos" w:cs="Aptos"/>
          <w:sz w:val="22"/>
          <w:szCs w:val="22"/>
        </w:rPr>
        <w:t xml:space="preserve"> — </w:t>
      </w:r>
      <w:r w:rsidRPr="3DD37099">
        <w:rPr>
          <w:rFonts w:ascii="Aptos" w:eastAsia="Aptos" w:hAnsi="Aptos" w:cs="Aptos"/>
          <w:i/>
          <w:iCs/>
          <w:sz w:val="22"/>
          <w:szCs w:val="22"/>
        </w:rPr>
        <w:t>DORA:</w:t>
      </w:r>
      <w:r w:rsidRPr="3DD37099">
        <w:rPr>
          <w:rFonts w:ascii="Aptos" w:eastAsia="Aptos" w:hAnsi="Aptos" w:cs="Aptos"/>
          <w:sz w:val="22"/>
          <w:szCs w:val="22"/>
        </w:rPr>
        <w:t xml:space="preserve"> diritto a monitoraggio continuo e reporting strutturato ([6]).</w:t>
      </w:r>
      <w:r>
        <w:br/>
      </w:r>
      <w:r w:rsidRPr="3DD37099">
        <w:rPr>
          <w:rFonts w:ascii="Aptos" w:eastAsia="Aptos" w:hAnsi="Aptos" w:cs="Aptos"/>
          <w:sz w:val="22"/>
          <w:szCs w:val="22"/>
        </w:rPr>
        <w:t xml:space="preserve"> — </w:t>
      </w:r>
      <w:r w:rsidRPr="3DD37099">
        <w:rPr>
          <w:rFonts w:ascii="Aptos" w:eastAsia="Aptos" w:hAnsi="Aptos" w:cs="Aptos"/>
          <w:i/>
          <w:iCs/>
          <w:sz w:val="22"/>
          <w:szCs w:val="22"/>
        </w:rPr>
        <w:t>Contoso:</w:t>
      </w:r>
      <w:r w:rsidRPr="3DD37099">
        <w:rPr>
          <w:rFonts w:ascii="Aptos" w:eastAsia="Aptos" w:hAnsi="Aptos" w:cs="Aptos"/>
          <w:sz w:val="22"/>
          <w:szCs w:val="22"/>
        </w:rPr>
        <w:t xml:space="preserve"> info periodiche e rivalutazioni sì ([9], [5]) ma non template/KPI/frequenze obbligatorie.</w:t>
      </w:r>
      <w:r>
        <w:br/>
      </w:r>
      <w:r w:rsidRPr="3DD37099">
        <w:rPr>
          <w:rFonts w:ascii="Aptos" w:eastAsia="Aptos" w:hAnsi="Aptos" w:cs="Aptos"/>
          <w:sz w:val="22"/>
          <w:szCs w:val="22"/>
        </w:rPr>
        <w:t xml:space="preserve"> — </w:t>
      </w:r>
      <w:r w:rsidRPr="3DD37099">
        <w:rPr>
          <w:rFonts w:ascii="Aptos" w:eastAsia="Aptos" w:hAnsi="Aptos" w:cs="Aptos"/>
          <w:i/>
          <w:iCs/>
          <w:sz w:val="22"/>
          <w:szCs w:val="22"/>
        </w:rPr>
        <w:t>Rif.:</w:t>
      </w:r>
      <w:r w:rsidRPr="3DD37099">
        <w:rPr>
          <w:rFonts w:ascii="Aptos" w:eastAsia="Aptos" w:hAnsi="Aptos" w:cs="Aptos"/>
          <w:sz w:val="22"/>
          <w:szCs w:val="22"/>
        </w:rPr>
        <w:t xml:space="preserve"> DORA [6]; Reg. Contoso [9], [5]. → </w:t>
      </w:r>
      <w:r w:rsidRPr="3DD37099">
        <w:rPr>
          <w:rFonts w:ascii="Aptos" w:eastAsia="Aptos" w:hAnsi="Aptos" w:cs="Aptos"/>
          <w:b/>
          <w:bCs/>
          <w:sz w:val="22"/>
          <w:szCs w:val="22"/>
        </w:rPr>
        <w:t>Gap.</w:t>
      </w:r>
    </w:p>
    <w:p w14:paraId="1B99A6A9" w14:textId="77777777" w:rsidR="00F31F45" w:rsidRDefault="00F31F45" w:rsidP="00F31F45">
      <w:pPr>
        <w:pStyle w:val="Titolo3"/>
        <w:spacing w:before="281" w:after="281"/>
        <w:rPr>
          <w:rFonts w:ascii="Aptos" w:eastAsia="Aptos" w:hAnsi="Aptos" w:cs="Aptos"/>
          <w:b/>
          <w:bCs/>
          <w:sz w:val="22"/>
          <w:szCs w:val="22"/>
        </w:rPr>
      </w:pPr>
      <w:bookmarkStart w:id="1" w:name="_Toc211923386"/>
      <w:r w:rsidRPr="3DD37099">
        <w:rPr>
          <w:rFonts w:ascii="Aptos" w:eastAsia="Aptos" w:hAnsi="Aptos" w:cs="Aptos"/>
          <w:b/>
          <w:bCs/>
          <w:sz w:val="22"/>
          <w:szCs w:val="22"/>
        </w:rPr>
        <w:t>Osservazioni su coperture</w:t>
      </w:r>
      <w:bookmarkEnd w:id="1"/>
    </w:p>
    <w:p w14:paraId="709B67C0" w14:textId="77777777" w:rsidR="00F31F45" w:rsidRDefault="00F31F45" w:rsidP="00F31F45">
      <w:pPr>
        <w:pStyle w:val="Paragrafoelenco"/>
        <w:numPr>
          <w:ilvl w:val="0"/>
          <w:numId w:val="2"/>
        </w:numPr>
        <w:spacing w:before="240" w:after="240"/>
        <w:rPr>
          <w:rFonts w:ascii="Aptos" w:eastAsia="Aptos" w:hAnsi="Aptos" w:cs="Aptos"/>
          <w:sz w:val="22"/>
          <w:szCs w:val="22"/>
        </w:rPr>
      </w:pPr>
      <w:r w:rsidRPr="3DD37099">
        <w:rPr>
          <w:rFonts w:ascii="Aptos" w:eastAsia="Aptos" w:hAnsi="Aptos" w:cs="Aptos"/>
          <w:b/>
          <w:bCs/>
          <w:sz w:val="22"/>
          <w:szCs w:val="22"/>
        </w:rPr>
        <w:t>Allineate:</w:t>
      </w:r>
      <w:r w:rsidRPr="3DD37099">
        <w:rPr>
          <w:rFonts w:ascii="Aptos" w:eastAsia="Aptos" w:hAnsi="Aptos" w:cs="Aptos"/>
          <w:sz w:val="22"/>
          <w:szCs w:val="22"/>
        </w:rPr>
        <w:t xml:space="preserve"> componente critica, due diligence, diritti di audit/accesso, proprietà dati, riservatezza, exit/transfer, continuità generale (Reg. Contoso [1], [2], [3], [6], [7], [8], [9], [10], [11], [12], [13], [15], [16]).</w:t>
      </w:r>
    </w:p>
    <w:p w14:paraId="14E82019" w14:textId="77777777" w:rsidR="00F31F45" w:rsidRDefault="00F31F45" w:rsidP="00F31F45">
      <w:pPr>
        <w:pStyle w:val="Paragrafoelenco"/>
        <w:numPr>
          <w:ilvl w:val="0"/>
          <w:numId w:val="2"/>
        </w:numPr>
        <w:spacing w:before="240" w:after="240"/>
        <w:rPr>
          <w:rFonts w:ascii="Aptos" w:eastAsia="Aptos" w:hAnsi="Aptos" w:cs="Aptos"/>
          <w:sz w:val="22"/>
          <w:szCs w:val="22"/>
        </w:rPr>
      </w:pPr>
      <w:r w:rsidRPr="3DD37099">
        <w:rPr>
          <w:rFonts w:ascii="Aptos" w:eastAsia="Aptos" w:hAnsi="Aptos" w:cs="Aptos"/>
          <w:b/>
          <w:bCs/>
          <w:sz w:val="22"/>
          <w:szCs w:val="22"/>
        </w:rPr>
        <w:t>Parziali:</w:t>
      </w:r>
      <w:r w:rsidRPr="3DD37099">
        <w:rPr>
          <w:rFonts w:ascii="Aptos" w:eastAsia="Aptos" w:hAnsi="Aptos" w:cs="Aptos"/>
          <w:sz w:val="22"/>
          <w:szCs w:val="22"/>
        </w:rPr>
        <w:t xml:space="preserve"> continuità operativa/SLA (mancano dettagli di testing), reporting incidenti (mancano template/timeline DORA), integrazione post-incident nel risk management (manca formalizzazione).</w:t>
      </w:r>
    </w:p>
    <w:p w14:paraId="28240F90" w14:textId="77777777" w:rsidR="00F31F45" w:rsidRDefault="00F31F45" w:rsidP="00F31F45">
      <w:pPr>
        <w:pStyle w:val="Titolo3"/>
        <w:spacing w:before="281" w:after="281"/>
        <w:rPr>
          <w:rFonts w:ascii="Aptos" w:eastAsia="Aptos" w:hAnsi="Aptos" w:cs="Aptos"/>
          <w:b/>
          <w:bCs/>
          <w:sz w:val="22"/>
          <w:szCs w:val="22"/>
        </w:rPr>
      </w:pPr>
      <w:bookmarkStart w:id="2" w:name="_Toc211923387"/>
      <w:r w:rsidRPr="3DD37099">
        <w:rPr>
          <w:rFonts w:ascii="Aptos" w:eastAsia="Aptos" w:hAnsi="Aptos" w:cs="Aptos"/>
          <w:b/>
          <w:bCs/>
          <w:sz w:val="22"/>
          <w:szCs w:val="22"/>
        </w:rPr>
        <w:t>Raccomandazioni operative (brevi)</w:t>
      </w:r>
      <w:bookmarkEnd w:id="2"/>
    </w:p>
    <w:p w14:paraId="0A75CECC" w14:textId="77777777" w:rsidR="00F31F45" w:rsidRDefault="00F31F45" w:rsidP="00F31F45">
      <w:pPr>
        <w:pStyle w:val="Paragrafoelenco"/>
        <w:numPr>
          <w:ilvl w:val="0"/>
          <w:numId w:val="1"/>
        </w:numPr>
        <w:spacing w:before="240" w:after="240"/>
        <w:rPr>
          <w:rFonts w:ascii="Aptos" w:eastAsia="Aptos" w:hAnsi="Aptos" w:cs="Aptos"/>
          <w:sz w:val="22"/>
          <w:szCs w:val="22"/>
        </w:rPr>
      </w:pPr>
      <w:r w:rsidRPr="3DD37099">
        <w:rPr>
          <w:rFonts w:ascii="Aptos" w:eastAsia="Aptos" w:hAnsi="Aptos" w:cs="Aptos"/>
          <w:sz w:val="22"/>
          <w:szCs w:val="22"/>
        </w:rPr>
        <w:t xml:space="preserve">Inserire nei contratti per funzioni critiche l’obbligo esplicito di </w:t>
      </w:r>
      <w:r w:rsidRPr="3DD37099">
        <w:rPr>
          <w:rFonts w:ascii="Aptos" w:eastAsia="Aptos" w:hAnsi="Aptos" w:cs="Aptos"/>
          <w:b/>
          <w:bCs/>
          <w:sz w:val="22"/>
          <w:szCs w:val="22"/>
        </w:rPr>
        <w:t>partecipazione/cooperazione ai TLPT</w:t>
      </w:r>
      <w:r w:rsidRPr="3DD37099">
        <w:rPr>
          <w:rFonts w:ascii="Aptos" w:eastAsia="Aptos" w:hAnsi="Aptos" w:cs="Aptos"/>
          <w:sz w:val="22"/>
          <w:szCs w:val="22"/>
        </w:rPr>
        <w:t xml:space="preserve"> con evidenze dei risultati (DORA [6]).</w:t>
      </w:r>
    </w:p>
    <w:p w14:paraId="648B2686" w14:textId="77777777" w:rsidR="00F31F45" w:rsidRDefault="00F31F45" w:rsidP="00F31F45">
      <w:pPr>
        <w:pStyle w:val="Paragrafoelenco"/>
        <w:numPr>
          <w:ilvl w:val="0"/>
          <w:numId w:val="1"/>
        </w:numPr>
        <w:spacing w:before="240" w:after="240"/>
        <w:rPr>
          <w:rFonts w:ascii="Aptos" w:eastAsia="Aptos" w:hAnsi="Aptos" w:cs="Aptos"/>
          <w:sz w:val="22"/>
          <w:szCs w:val="22"/>
        </w:rPr>
      </w:pPr>
      <w:r w:rsidRPr="3DD37099">
        <w:rPr>
          <w:rFonts w:ascii="Aptos" w:eastAsia="Aptos" w:hAnsi="Aptos" w:cs="Aptos"/>
          <w:sz w:val="22"/>
          <w:szCs w:val="22"/>
        </w:rPr>
        <w:t xml:space="preserve">Definire </w:t>
      </w:r>
      <w:r w:rsidRPr="3DD37099">
        <w:rPr>
          <w:rFonts w:ascii="Aptos" w:eastAsia="Aptos" w:hAnsi="Aptos" w:cs="Aptos"/>
          <w:b/>
          <w:bCs/>
          <w:sz w:val="22"/>
          <w:szCs w:val="22"/>
        </w:rPr>
        <w:t>testing periodico vincolante</w:t>
      </w:r>
      <w:r w:rsidRPr="3DD37099">
        <w:rPr>
          <w:rFonts w:ascii="Aptos" w:eastAsia="Aptos" w:hAnsi="Aptos" w:cs="Aptos"/>
          <w:sz w:val="22"/>
          <w:szCs w:val="22"/>
        </w:rPr>
        <w:t xml:space="preserve"> dei piani di continuità dei fornitori critici, con </w:t>
      </w:r>
      <w:r w:rsidRPr="3DD37099">
        <w:rPr>
          <w:rFonts w:ascii="Aptos" w:eastAsia="Aptos" w:hAnsi="Aptos" w:cs="Aptos"/>
          <w:b/>
          <w:bCs/>
          <w:sz w:val="22"/>
          <w:szCs w:val="22"/>
        </w:rPr>
        <w:t>report</w:t>
      </w:r>
      <w:r w:rsidRPr="3DD37099">
        <w:rPr>
          <w:rFonts w:ascii="Aptos" w:eastAsia="Aptos" w:hAnsi="Aptos" w:cs="Aptos"/>
          <w:sz w:val="22"/>
          <w:szCs w:val="22"/>
        </w:rPr>
        <w:t xml:space="preserve"> condivisi e </w:t>
      </w:r>
      <w:r w:rsidRPr="3DD37099">
        <w:rPr>
          <w:rFonts w:ascii="Aptos" w:eastAsia="Aptos" w:hAnsi="Aptos" w:cs="Aptos"/>
          <w:b/>
          <w:bCs/>
          <w:sz w:val="22"/>
          <w:szCs w:val="22"/>
        </w:rPr>
        <w:t>test congiunti</w:t>
      </w:r>
      <w:r w:rsidRPr="3DD37099">
        <w:rPr>
          <w:rFonts w:ascii="Aptos" w:eastAsia="Aptos" w:hAnsi="Aptos" w:cs="Aptos"/>
          <w:sz w:val="22"/>
          <w:szCs w:val="22"/>
        </w:rPr>
        <w:t xml:space="preserve"> (DORA [6], [7]; Procedura [11]).</w:t>
      </w:r>
    </w:p>
    <w:p w14:paraId="4951C848" w14:textId="77777777" w:rsidR="00F31F45" w:rsidRDefault="00F31F45" w:rsidP="00F31F45">
      <w:pPr>
        <w:pStyle w:val="Paragrafoelenco"/>
        <w:numPr>
          <w:ilvl w:val="0"/>
          <w:numId w:val="1"/>
        </w:numPr>
        <w:spacing w:before="240" w:after="240"/>
        <w:rPr>
          <w:rFonts w:ascii="Aptos" w:eastAsia="Aptos" w:hAnsi="Aptos" w:cs="Aptos"/>
          <w:sz w:val="22"/>
          <w:szCs w:val="22"/>
        </w:rPr>
      </w:pPr>
      <w:r w:rsidRPr="3DD37099">
        <w:rPr>
          <w:rFonts w:ascii="Aptos" w:eastAsia="Aptos" w:hAnsi="Aptos" w:cs="Aptos"/>
          <w:sz w:val="22"/>
          <w:szCs w:val="22"/>
        </w:rPr>
        <w:t xml:space="preserve">Adeguare </w:t>
      </w:r>
      <w:r w:rsidRPr="3DD37099">
        <w:rPr>
          <w:rFonts w:ascii="Aptos" w:eastAsia="Aptos" w:hAnsi="Aptos" w:cs="Aptos"/>
          <w:b/>
          <w:bCs/>
          <w:sz w:val="22"/>
          <w:szCs w:val="22"/>
        </w:rPr>
        <w:t>procedure e clausole</w:t>
      </w:r>
      <w:r w:rsidRPr="3DD37099">
        <w:rPr>
          <w:rFonts w:ascii="Aptos" w:eastAsia="Aptos" w:hAnsi="Aptos" w:cs="Aptos"/>
          <w:sz w:val="22"/>
          <w:szCs w:val="22"/>
        </w:rPr>
        <w:t xml:space="preserve"> al regime </w:t>
      </w:r>
      <w:r w:rsidRPr="3DD37099">
        <w:rPr>
          <w:rFonts w:ascii="Aptos" w:eastAsia="Aptos" w:hAnsi="Aptos" w:cs="Aptos"/>
          <w:b/>
          <w:bCs/>
          <w:sz w:val="22"/>
          <w:szCs w:val="22"/>
        </w:rPr>
        <w:t>armonizzato DORA</w:t>
      </w:r>
      <w:r w:rsidRPr="3DD37099">
        <w:rPr>
          <w:rFonts w:ascii="Aptos" w:eastAsia="Aptos" w:hAnsi="Aptos" w:cs="Aptos"/>
          <w:sz w:val="22"/>
          <w:szCs w:val="22"/>
        </w:rPr>
        <w:t xml:space="preserve"> per il reporting (template/tempi per initial &amp; follow-up) e ruoli interni chiari (DORA [10], [11]; Procedura [1]).</w:t>
      </w:r>
    </w:p>
    <w:p w14:paraId="617D57AF" w14:textId="77777777" w:rsidR="00F31F45" w:rsidRDefault="00F31F45" w:rsidP="00F31F45">
      <w:pPr>
        <w:pStyle w:val="Paragrafoelenco"/>
        <w:numPr>
          <w:ilvl w:val="0"/>
          <w:numId w:val="1"/>
        </w:numPr>
        <w:spacing w:before="240" w:after="240"/>
        <w:rPr>
          <w:rFonts w:ascii="Aptos" w:eastAsia="Aptos" w:hAnsi="Aptos" w:cs="Aptos"/>
          <w:sz w:val="22"/>
          <w:szCs w:val="22"/>
        </w:rPr>
      </w:pPr>
      <w:r w:rsidRPr="3DD37099">
        <w:rPr>
          <w:rFonts w:ascii="Aptos" w:eastAsia="Aptos" w:hAnsi="Aptos" w:cs="Aptos"/>
          <w:sz w:val="22"/>
          <w:szCs w:val="22"/>
        </w:rPr>
        <w:t xml:space="preserve">Formalizzare una </w:t>
      </w:r>
      <w:r w:rsidRPr="3DD37099">
        <w:rPr>
          <w:rFonts w:ascii="Aptos" w:eastAsia="Aptos" w:hAnsi="Aptos" w:cs="Aptos"/>
          <w:b/>
          <w:bCs/>
          <w:sz w:val="22"/>
          <w:szCs w:val="22"/>
        </w:rPr>
        <w:t>BIA</w:t>
      </w:r>
      <w:r w:rsidRPr="3DD37099">
        <w:rPr>
          <w:rFonts w:ascii="Aptos" w:eastAsia="Aptos" w:hAnsi="Aptos" w:cs="Aptos"/>
          <w:sz w:val="22"/>
          <w:szCs w:val="22"/>
        </w:rPr>
        <w:t xml:space="preserve"> completa con interdipendenze/terze parti e </w:t>
      </w:r>
      <w:r w:rsidRPr="3DD37099">
        <w:rPr>
          <w:rFonts w:ascii="Aptos" w:eastAsia="Aptos" w:hAnsi="Aptos" w:cs="Aptos"/>
          <w:b/>
          <w:bCs/>
          <w:sz w:val="22"/>
          <w:szCs w:val="22"/>
        </w:rPr>
        <w:t>ridondanza</w:t>
      </w:r>
      <w:r w:rsidRPr="3DD37099">
        <w:rPr>
          <w:rFonts w:ascii="Aptos" w:eastAsia="Aptos" w:hAnsi="Aptos" w:cs="Aptos"/>
          <w:sz w:val="22"/>
          <w:szCs w:val="22"/>
        </w:rPr>
        <w:t xml:space="preserve"> dei componenti critici (DORA [7]).</w:t>
      </w:r>
    </w:p>
    <w:p w14:paraId="2099B323" w14:textId="77777777" w:rsidR="00F31F45" w:rsidRDefault="00F31F45" w:rsidP="00F31F45">
      <w:pPr>
        <w:pStyle w:val="Paragrafoelenco"/>
        <w:numPr>
          <w:ilvl w:val="0"/>
          <w:numId w:val="1"/>
        </w:numPr>
        <w:spacing w:before="240" w:after="240"/>
        <w:rPr>
          <w:rFonts w:ascii="Aptos" w:eastAsia="Aptos" w:hAnsi="Aptos" w:cs="Aptos"/>
          <w:sz w:val="22"/>
          <w:szCs w:val="22"/>
        </w:rPr>
      </w:pPr>
      <w:r w:rsidRPr="3DD37099">
        <w:rPr>
          <w:rFonts w:ascii="Aptos" w:eastAsia="Aptos" w:hAnsi="Aptos" w:cs="Aptos"/>
          <w:sz w:val="22"/>
          <w:szCs w:val="22"/>
        </w:rPr>
        <w:t xml:space="preserve">Esplicitare nei contratti/policy l’adesione a </w:t>
      </w:r>
      <w:r w:rsidRPr="3DD37099">
        <w:rPr>
          <w:rFonts w:ascii="Aptos" w:eastAsia="Aptos" w:hAnsi="Aptos" w:cs="Aptos"/>
          <w:b/>
          <w:bCs/>
          <w:sz w:val="22"/>
          <w:szCs w:val="22"/>
        </w:rPr>
        <w:t>standard di sicurezza aggiornati e di elevata qualità</w:t>
      </w:r>
      <w:r w:rsidRPr="3DD37099">
        <w:rPr>
          <w:rFonts w:ascii="Aptos" w:eastAsia="Aptos" w:hAnsi="Aptos" w:cs="Aptos"/>
          <w:sz w:val="22"/>
          <w:szCs w:val="22"/>
        </w:rPr>
        <w:t xml:space="preserve"> (es. standard internazionali) (DORA [2]).</w:t>
      </w:r>
    </w:p>
    <w:p w14:paraId="77C4C725" w14:textId="345BDC00" w:rsidR="00F31F45" w:rsidRPr="00F31F45" w:rsidRDefault="00F31F45" w:rsidP="00F31F45">
      <w:pPr>
        <w:pStyle w:val="Paragrafoelenco"/>
        <w:numPr>
          <w:ilvl w:val="0"/>
          <w:numId w:val="1"/>
        </w:numPr>
        <w:spacing w:before="240" w:after="240"/>
        <w:rPr>
          <w:rFonts w:ascii="Aptos" w:eastAsia="Aptos" w:hAnsi="Aptos" w:cs="Aptos"/>
          <w:sz w:val="22"/>
          <w:szCs w:val="22"/>
        </w:rPr>
      </w:pPr>
      <w:r w:rsidRPr="3DD37099">
        <w:rPr>
          <w:rFonts w:ascii="Aptos" w:eastAsia="Aptos" w:hAnsi="Aptos" w:cs="Aptos"/>
          <w:sz w:val="22"/>
          <w:szCs w:val="22"/>
        </w:rPr>
        <w:t xml:space="preserve">Documentare il </w:t>
      </w:r>
      <w:r w:rsidRPr="3DD37099">
        <w:rPr>
          <w:rFonts w:ascii="Aptos" w:eastAsia="Aptos" w:hAnsi="Aptos" w:cs="Aptos"/>
          <w:b/>
          <w:bCs/>
          <w:sz w:val="22"/>
          <w:szCs w:val="22"/>
        </w:rPr>
        <w:t>ciclo di miglioramento</w:t>
      </w:r>
      <w:r w:rsidRPr="3DD37099">
        <w:rPr>
          <w:rFonts w:ascii="Aptos" w:eastAsia="Aptos" w:hAnsi="Aptos" w:cs="Aptos"/>
          <w:sz w:val="22"/>
          <w:szCs w:val="22"/>
        </w:rPr>
        <w:t xml:space="preserve"> che integra esiti di test e post-incident nel </w:t>
      </w:r>
      <w:r w:rsidRPr="3DD37099">
        <w:rPr>
          <w:rFonts w:ascii="Aptos" w:eastAsia="Aptos" w:hAnsi="Aptos" w:cs="Aptos"/>
          <w:b/>
          <w:bCs/>
          <w:sz w:val="22"/>
          <w:szCs w:val="22"/>
        </w:rPr>
        <w:t xml:space="preserve">risk </w:t>
      </w:r>
      <w:proofErr w:type="spellStart"/>
      <w:r w:rsidRPr="3DD37099">
        <w:rPr>
          <w:rFonts w:ascii="Aptos" w:eastAsia="Aptos" w:hAnsi="Aptos" w:cs="Aptos"/>
          <w:b/>
          <w:bCs/>
          <w:sz w:val="22"/>
          <w:szCs w:val="22"/>
        </w:rPr>
        <w:t>assessment</w:t>
      </w:r>
      <w:proofErr w:type="spellEnd"/>
      <w:r w:rsidRPr="3DD37099">
        <w:rPr>
          <w:rFonts w:ascii="Aptos" w:eastAsia="Aptos" w:hAnsi="Aptos" w:cs="Aptos"/>
          <w:b/>
          <w:bCs/>
          <w:sz w:val="22"/>
          <w:szCs w:val="22"/>
        </w:rPr>
        <w:t xml:space="preserve"> ICT</w:t>
      </w:r>
      <w:r w:rsidRPr="3DD37099">
        <w:rPr>
          <w:rFonts w:ascii="Aptos" w:eastAsia="Aptos" w:hAnsi="Aptos" w:cs="Aptos"/>
          <w:sz w:val="22"/>
          <w:szCs w:val="22"/>
        </w:rPr>
        <w:t xml:space="preserve"> e in un </w:t>
      </w:r>
      <w:r w:rsidRPr="3DD37099">
        <w:rPr>
          <w:rFonts w:ascii="Aptos" w:eastAsia="Aptos" w:hAnsi="Aptos" w:cs="Aptos"/>
          <w:b/>
          <w:bCs/>
          <w:sz w:val="22"/>
          <w:szCs w:val="22"/>
        </w:rPr>
        <w:t>programma formativo</w:t>
      </w:r>
      <w:r w:rsidRPr="3DD37099">
        <w:rPr>
          <w:rFonts w:ascii="Aptos" w:eastAsia="Aptos" w:hAnsi="Aptos" w:cs="Aptos"/>
          <w:sz w:val="22"/>
          <w:szCs w:val="22"/>
        </w:rPr>
        <w:t xml:space="preserve"> (DORA [8], [9]).</w:t>
      </w:r>
      <w:r w:rsidRPr="00F31F45">
        <w:rPr>
          <w:sz w:val="32"/>
          <w:szCs w:val="32"/>
          <w:highlight w:val="cyan"/>
        </w:rPr>
        <w:br w:type="page"/>
      </w:r>
    </w:p>
    <w:p w14:paraId="3D67C879" w14:textId="658CB7BB" w:rsidR="002C7BC7" w:rsidRPr="00F31F45" w:rsidRDefault="00F31F45" w:rsidP="00F31F45">
      <w:pPr>
        <w:pStyle w:val="Titolo1"/>
        <w:rPr>
          <w:rFonts w:eastAsia="Aptos"/>
        </w:rPr>
      </w:pPr>
      <w:bookmarkStart w:id="3" w:name="_Toc211923388"/>
      <w:r w:rsidRPr="00F31F45">
        <w:rPr>
          <w:rFonts w:eastAsia="Aptos"/>
        </w:rPr>
        <w:lastRenderedPageBreak/>
        <w:t>Allegati</w:t>
      </w:r>
      <w:bookmarkEnd w:id="3"/>
    </w:p>
    <w:p w14:paraId="30FD391C" w14:textId="77777777" w:rsidR="00A2164E" w:rsidRDefault="00A2164E" w:rsidP="00A2164E">
      <w:pPr>
        <w:pStyle w:val="Titolo1"/>
        <w:spacing w:before="322" w:after="322"/>
        <w:rPr>
          <w:rFonts w:ascii="Aptos" w:eastAsia="Aptos" w:hAnsi="Aptos" w:cs="Aptos"/>
          <w:b/>
          <w:bCs/>
          <w:sz w:val="22"/>
          <w:szCs w:val="22"/>
        </w:rPr>
      </w:pPr>
      <w:bookmarkStart w:id="4" w:name="_Toc211923389"/>
      <w:r w:rsidRPr="031F8293">
        <w:rPr>
          <w:rFonts w:ascii="Aptos" w:eastAsia="Aptos" w:hAnsi="Aptos" w:cs="Aptos"/>
          <w:b/>
          <w:bCs/>
          <w:sz w:val="22"/>
          <w:szCs w:val="22"/>
        </w:rPr>
        <w:t>Estratti numerati con riferimenti a documenti e sezioni/articoli</w:t>
      </w:r>
      <w:bookmarkEnd w:id="4"/>
    </w:p>
    <w:p w14:paraId="7D84A356"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Di seguito fornisco gli estratti numerati richiesti, ciascuno con riferimento al documento e alla sezione/articolo quando disponibile. Ho analizzato i seguenti documenti: </w:t>
      </w:r>
      <w:r w:rsidRPr="031F8293">
        <w:rPr>
          <w:rFonts w:ascii="Aptos" w:eastAsia="Aptos" w:hAnsi="Aptos" w:cs="Aptos"/>
          <w:b/>
          <w:bCs/>
          <w:sz w:val="22"/>
          <w:szCs w:val="22"/>
        </w:rPr>
        <w:t>Regolamento di Gruppo in materia di esternalizzazione CONTOSO (interno)</w:t>
      </w:r>
      <w:r w:rsidRPr="031F8293">
        <w:rPr>
          <w:rFonts w:ascii="Aptos" w:eastAsia="Aptos" w:hAnsi="Aptos" w:cs="Aptos"/>
          <w:sz w:val="22"/>
          <w:szCs w:val="22"/>
        </w:rPr>
        <w:t xml:space="preserve">, </w:t>
      </w:r>
      <w:r w:rsidRPr="031F8293">
        <w:rPr>
          <w:rFonts w:ascii="Aptos" w:eastAsia="Aptos" w:hAnsi="Aptos" w:cs="Aptos"/>
          <w:b/>
          <w:bCs/>
          <w:sz w:val="22"/>
          <w:szCs w:val="22"/>
        </w:rPr>
        <w:t>Procedura di gestione degli incidenti (Contoso, abstract)</w:t>
      </w:r>
      <w:r w:rsidRPr="031F8293">
        <w:rPr>
          <w:rFonts w:ascii="Aptos" w:eastAsia="Aptos" w:hAnsi="Aptos" w:cs="Aptos"/>
          <w:sz w:val="22"/>
          <w:szCs w:val="22"/>
        </w:rPr>
        <w:t xml:space="preserve"> e </w:t>
      </w:r>
      <w:r w:rsidRPr="031F8293">
        <w:rPr>
          <w:rFonts w:ascii="Aptos" w:eastAsia="Aptos" w:hAnsi="Aptos" w:cs="Aptos"/>
          <w:b/>
          <w:bCs/>
          <w:sz w:val="22"/>
          <w:szCs w:val="22"/>
        </w:rPr>
        <w:t>Regolamento (UE) 2022/2554 (DORA)</w:t>
      </w:r>
      <w:r w:rsidRPr="031F8293">
        <w:rPr>
          <w:rFonts w:ascii="Aptos" w:eastAsia="Aptos" w:hAnsi="Aptos" w:cs="Aptos"/>
          <w:sz w:val="22"/>
          <w:szCs w:val="22"/>
        </w:rPr>
        <w:t>. Ogni estratto è corredato da una citazione numerata [n].</w:t>
      </w:r>
    </w:p>
    <w:p w14:paraId="647B14F9" w14:textId="77777777" w:rsidR="00A2164E" w:rsidRDefault="00A2164E" w:rsidP="00A2164E">
      <w:pPr>
        <w:rPr>
          <w:sz w:val="22"/>
          <w:szCs w:val="22"/>
        </w:rPr>
      </w:pPr>
    </w:p>
    <w:p w14:paraId="60E082AD" w14:textId="77777777" w:rsidR="00A2164E" w:rsidRDefault="00A2164E" w:rsidP="00A2164E">
      <w:pPr>
        <w:pStyle w:val="Titolo2"/>
        <w:spacing w:before="299" w:after="299"/>
        <w:rPr>
          <w:rFonts w:ascii="Aptos" w:eastAsia="Aptos" w:hAnsi="Aptos" w:cs="Aptos"/>
          <w:b/>
          <w:bCs/>
          <w:sz w:val="22"/>
          <w:szCs w:val="22"/>
        </w:rPr>
      </w:pPr>
      <w:bookmarkStart w:id="5" w:name="_Toc211923390"/>
      <w:r w:rsidRPr="031F8293">
        <w:rPr>
          <w:rFonts w:ascii="Aptos" w:eastAsia="Aptos" w:hAnsi="Aptos" w:cs="Aptos"/>
          <w:b/>
          <w:bCs/>
          <w:sz w:val="22"/>
          <w:szCs w:val="22"/>
        </w:rPr>
        <w:t>Regolamento di Gruppo in materia di esternalizzazione CONTOSO (documento interno)</w:t>
      </w:r>
      <w:bookmarkEnd w:id="5"/>
    </w:p>
    <w:p w14:paraId="2002081B"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 «Componente critica del sistema informativo: il sistema ICT per il quale un incidente operativo o di sicurezza può pregiudicare il regolare e sicuro svolgimento di Funzioni Essenziali o Importanti…» (Definizioni) [1]</w:t>
      </w:r>
    </w:p>
    <w:p w14:paraId="08FDC4CF"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[2] «i risultati della valutazione dei rischi dell’accordo di esternalizzazione condotta dalla Capogruppo/dalle Banche affiliate/dalle Società in perimetro (cfr. paragrafi 6.1.2., 6.2.2., 6.3.2. “Due Diligence e Risk </w:t>
      </w:r>
      <w:proofErr w:type="spellStart"/>
      <w:r w:rsidRPr="031F8293">
        <w:rPr>
          <w:rFonts w:ascii="Aptos" w:eastAsia="Aptos" w:hAnsi="Aptos" w:cs="Aptos"/>
          <w:sz w:val="22"/>
          <w:szCs w:val="22"/>
        </w:rPr>
        <w:t>Assessment</w:t>
      </w:r>
      <w:proofErr w:type="spellEnd"/>
      <w:r w:rsidRPr="031F8293">
        <w:rPr>
          <w:rFonts w:ascii="Aptos" w:eastAsia="Aptos" w:hAnsi="Aptos" w:cs="Aptos"/>
          <w:sz w:val="22"/>
          <w:szCs w:val="22"/>
        </w:rPr>
        <w:t>”);» [2]</w:t>
      </w:r>
    </w:p>
    <w:p w14:paraId="0A73FA3E"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[3] «Management e Procurement: • cura la raccolta delle informazioni necessarie per la Due Diligence dei fornitori; • effettua la Due Diligence dei fornitori, con la collaborazione delle Strutture proponenti.» [3]</w:t>
      </w:r>
    </w:p>
    <w:p w14:paraId="1E53C31D"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[4] «Qualora il fornitore in esame coincida con una delle Società appartenenti al Gruppo Contoso, per le attività di Due Diligence si fa riferimento a quanto già effettuato in occasione della Due Diligence effettuata in precedenza sul fornitore stesso e per le nuove esternalizzazioni queste sono limitate all’eventuale aggiornamento dei dati, alla verifica della presenza di eventuali sub-fornitori, per i quali sarà necessario verificare che abbiano requisiti analoghi…» [4]</w:t>
      </w:r>
    </w:p>
    <w:p w14:paraId="0E70F7EB"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[5] «Le Funzioni Esperte: • sono coinvolte per quanto di competenza nell’ambito delle diverse attività previste in fase di Risk </w:t>
      </w:r>
      <w:proofErr w:type="spellStart"/>
      <w:r w:rsidRPr="031F8293">
        <w:rPr>
          <w:rFonts w:ascii="Aptos" w:eastAsia="Aptos" w:hAnsi="Aptos" w:cs="Aptos"/>
          <w:sz w:val="22"/>
          <w:szCs w:val="22"/>
        </w:rPr>
        <w:t>Assessment</w:t>
      </w:r>
      <w:proofErr w:type="spellEnd"/>
      <w:r w:rsidRPr="031F8293">
        <w:rPr>
          <w:rFonts w:ascii="Aptos" w:eastAsia="Aptos" w:hAnsi="Aptos" w:cs="Aptos"/>
          <w:sz w:val="22"/>
          <w:szCs w:val="22"/>
        </w:rPr>
        <w:t>; • sono coinvolte nell’ambito delle attività di monitoraggio del rischio attraverso la rivalutazione periodica dei presidi del fornitore; • contribuiscono alla definizione di eventuali requisiti contrattuali da integrare nei contratti di esternalizzazione.» [5]</w:t>
      </w:r>
    </w:p>
    <w:p w14:paraId="1EE3B7AF"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[6] «l’obbligo per il fornitore di osservare la Policy di sicurezza informatica aziendale, con particolare riferimento alle misure per l’autenticazione e il controllo degli accessi, la gestione delle chiavi crittografiche, i certificati digitali utilizzati per l’autenticazione dei servizi e degli utenti;» (Clausole aggiuntive per esternalizzazione del Sistema Informativo) [6]</w:t>
      </w:r>
    </w:p>
    <w:p w14:paraId="210A68BA"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lastRenderedPageBreak/>
        <w:t>[7] «obbligo per il fornitore di provvedere al trattamento dei dati in accordo con il loro livello di classificazione, con particolare riferimento alla riservatezza;» (Clausole aggiuntive per esternalizzazione del Sistema Informativo) [7]</w:t>
      </w:r>
    </w:p>
    <w:p w14:paraId="27606B3B"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[8] «clausole riferite alla proprietà di dati, software, documentazione tecnica e altre risorse ICT, fermo restando la proprietà esclusiva per l’intermediario sui dati inerenti la clientela e i servizi a essa forniti;» (Clausole aggiuntive per esternalizzazione del Sistema Informativo) [8]</w:t>
      </w:r>
    </w:p>
    <w:p w14:paraId="38FE9119"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[9] «obbligo per il fornitore di produrre periodiche informazione che consenta alla Banca/Società una valutazione dei rischi associati alla sub esternalizzazione; f. il diritto della Banca/Società di opporsi alla sub-esternalizzazione entro un tempo congruo dal ricevimento della comunicazione;» (Clausole aggiuntive per esternalizzazione del Sistema Informativo) [9]</w:t>
      </w:r>
    </w:p>
    <w:p w14:paraId="19113DAF"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[10] «g. riconoscimento da parte del sub-fornitore alla Banca/Società, alle Autorità competenti, alle autorità di risoluzione e a ogni altro soggetto da questi nominato, degli stessi diritti di accesso, di informazione e di audit previsti per il fornitore;» (Clausole aggiuntive per esternalizzazione del Sistema Informativo) [10]</w:t>
      </w:r>
    </w:p>
    <w:p w14:paraId="45780EA2"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[11] «l’accordo di esternalizzazione deve contenere clausole per disciplinare gli impegni in caso di cessazione del contratto e per facilitare il trasferimento della funzione esternalizzata a un altro fornitore o la sua reintegrazione all’interno della Banca/Società, attraverso le seguenti previsioni contrattuali: a. l’indicazione di tutti gli obblighi del fornitore, che dovrà fornire alla Società adeguato sostegno in caso di trasferimento della funzione ad altro fornitore o della sua reintegrazione…» [11]</w:t>
      </w:r>
    </w:p>
    <w:p w14:paraId="29D62F33"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[12] «nell’ambito dell’accordo di esternalizzazione trattato dati e a fornitori di servizi cloud, è necessario elaborare accordi e strategie di uscita che impongano in capo al fornitore un ordinato trasferimento e trattamento dei dati relativi alla funzione esternalizzata e, laddove pertinente, l’eliminazione sicura dei dati dai sistemi dei fornitori di servizi cloud e di eventuali sub-</w:t>
      </w:r>
      <w:proofErr w:type="spellStart"/>
      <w:r w:rsidRPr="031F8293">
        <w:rPr>
          <w:rFonts w:ascii="Aptos" w:eastAsia="Aptos" w:hAnsi="Aptos" w:cs="Aptos"/>
          <w:sz w:val="22"/>
          <w:szCs w:val="22"/>
        </w:rPr>
        <w:t>esternalizzatori</w:t>
      </w:r>
      <w:proofErr w:type="spellEnd"/>
      <w:r w:rsidRPr="031F8293">
        <w:rPr>
          <w:rFonts w:ascii="Aptos" w:eastAsia="Aptos" w:hAnsi="Aptos" w:cs="Aptos"/>
          <w:sz w:val="22"/>
          <w:szCs w:val="22"/>
        </w:rPr>
        <w:t>.» [12]</w:t>
      </w:r>
    </w:p>
    <w:p w14:paraId="18DD82E8"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[13] «il piano di uscita da accordi di esternalizzazioni che prevedano l’utilizzo di modelli di cloud computing deve assicurare su base permanente la riservatezza, l’integrità e la resilienza dei sistemi informativi.» [13]</w:t>
      </w:r>
    </w:p>
    <w:p w14:paraId="04F3CDC9"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[14] «la soluzione che si intende adottare è condivisa con il Referente di Gruppo per le attività esternalizzate che, una volta informati il </w:t>
      </w:r>
      <w:proofErr w:type="spellStart"/>
      <w:r w:rsidRPr="031F8293">
        <w:rPr>
          <w:rFonts w:ascii="Aptos" w:eastAsia="Aptos" w:hAnsi="Aptos" w:cs="Aptos"/>
          <w:sz w:val="22"/>
          <w:szCs w:val="22"/>
        </w:rPr>
        <w:t>Chief</w:t>
      </w:r>
      <w:proofErr w:type="spellEnd"/>
      <w:r w:rsidRPr="031F8293">
        <w:rPr>
          <w:rFonts w:ascii="Aptos" w:eastAsia="Aptos" w:hAnsi="Aptos" w:cs="Aptos"/>
          <w:sz w:val="22"/>
          <w:szCs w:val="22"/>
        </w:rPr>
        <w:t xml:space="preserve"> Operating </w:t>
      </w:r>
      <w:proofErr w:type="spellStart"/>
      <w:r w:rsidRPr="031F8293">
        <w:rPr>
          <w:rFonts w:ascii="Aptos" w:eastAsia="Aptos" w:hAnsi="Aptos" w:cs="Aptos"/>
          <w:sz w:val="22"/>
          <w:szCs w:val="22"/>
        </w:rPr>
        <w:t>Officer</w:t>
      </w:r>
      <w:proofErr w:type="spellEnd"/>
      <w:r w:rsidRPr="031F8293">
        <w:rPr>
          <w:rFonts w:ascii="Aptos" w:eastAsia="Aptos" w:hAnsi="Aptos" w:cs="Aptos"/>
          <w:sz w:val="22"/>
          <w:szCs w:val="22"/>
        </w:rPr>
        <w:t xml:space="preserve"> e l’Amministratore Delegato, invia la soluzione per approvazione: al Comitato Esecutivo della Capogruppo…» (governance e approvazioni) [14]</w:t>
      </w:r>
    </w:p>
    <w:p w14:paraId="182A40C9"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[15] «a. di avere pieno accesso ai locali aziendali del fornitore, incluso l’intero insieme di dispositivi, sistemi, reti, informazioni e dati utilizzati per lo svolgimento della funzione esternalizzata…; b. di assicurare i poteri di raccolta di informazioni, di indagine e di accesso alle autorità competenti, ai sensi dell’art. 65 della direttiva 2013/36/UE e alle autorità di risoluzione, ai sensi dell’art. 63, par. 1, lett. a) della direttiva 2014/59/UE; c. diritti illimitati di condurre ispezioni e verifiche di audit in relazione all’accordo di esternalizzazione («diritti di audit»), per consentire il monitoraggio dell’accordo di esternalizzazione…» [15]</w:t>
      </w:r>
    </w:p>
    <w:p w14:paraId="28040B4E"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lastRenderedPageBreak/>
        <w:t>[16] «i livelli di servizio assicurati in caso di emergenza e soluzioni di continuità compatibili con le esigenze della Società e coerenti con le prescrizioni delle Autorità di Vigilanza; • tutela della Continuità Operativa del servizio, con specifici allegati tecnici del contratto, che prevedano l’adozione da parte del fornitore di soluzioni di Continuità Operativa coerenti con il Piano di Continuità Operativa della Banca/Società; • clausole che definiscano la facoltà per la Banca/Società di partecipare, direttamente o per il tramite di comitati utente, alle verifiche dei Piani di Continuità Operativa dei fornitori;» (SLA e continuità) [16]</w:t>
      </w:r>
    </w:p>
    <w:p w14:paraId="3E327039"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[17] «le procedure di gestione degli incidenti operativi e di sicurezza tra cui la notifica e l’attivazione dei livelli successivi di intervento;» (Gestione incidenti e integrazione contratti) [17]</w:t>
      </w:r>
    </w:p>
    <w:p w14:paraId="30082016"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[18] «Il Servizio Rapporti AA VV e Investor Relations: • nel caso di intermediari facenti parte delle Società in perimetro soggette alla disciplina della Circolare 288/2015, comunica all’Autorità di Vigilanza,» (rendicontazione verso autorità) [18]</w:t>
      </w:r>
    </w:p>
    <w:p w14:paraId="42C3BC9D"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[19] «clausola che indichi se il fornitore di servizi debba stipulare un’assicurazione obbligatoria contro determinati rischi e, ove applicabile, il livello di copertura assicurativa richiesto.» (assicurazione contrattuale) [19]</w:t>
      </w:r>
    </w:p>
    <w:p w14:paraId="6A27BDF5" w14:textId="77777777" w:rsidR="00A2164E" w:rsidRDefault="00A2164E" w:rsidP="00A2164E">
      <w:pPr>
        <w:rPr>
          <w:sz w:val="22"/>
          <w:szCs w:val="22"/>
        </w:rPr>
      </w:pPr>
    </w:p>
    <w:p w14:paraId="11AF4190" w14:textId="77777777" w:rsidR="00A2164E" w:rsidRDefault="00A2164E" w:rsidP="00A2164E">
      <w:pPr>
        <w:pStyle w:val="Titolo2"/>
        <w:spacing w:before="299" w:after="299"/>
        <w:rPr>
          <w:rFonts w:ascii="Aptos" w:eastAsia="Aptos" w:hAnsi="Aptos" w:cs="Aptos"/>
          <w:b/>
          <w:bCs/>
          <w:sz w:val="22"/>
          <w:szCs w:val="22"/>
        </w:rPr>
      </w:pPr>
      <w:bookmarkStart w:id="6" w:name="_Toc211923391"/>
      <w:r w:rsidRPr="031F8293">
        <w:rPr>
          <w:rFonts w:ascii="Aptos" w:eastAsia="Aptos" w:hAnsi="Aptos" w:cs="Aptos"/>
          <w:b/>
          <w:bCs/>
          <w:sz w:val="22"/>
          <w:szCs w:val="22"/>
        </w:rPr>
        <w:t>Procedura di gestione degli incidenti — Contoso (abstract)</w:t>
      </w:r>
      <w:bookmarkEnd w:id="6"/>
    </w:p>
    <w:p w14:paraId="0B72F7D3"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[1] «In caso di valutazione (secondo i criteri definiti da Bankit) “grave”, si proceda a livello consolidato alla segnalazione a Bankit stessa da parte del BCM, secondo modi e tempi indicati dalla normativa; in particolare la segnalazione dovrà essere inviata, su rilevazione, all’indirizzo di posta certificata: </w:t>
      </w:r>
      <w:hyperlink r:id="rId6">
        <w:r w:rsidRPr="031F8293">
          <w:rPr>
            <w:rStyle w:val="Collegamentoipertestuale"/>
            <w:rFonts w:ascii="Aptos" w:eastAsia="Aptos" w:hAnsi="Aptos" w:cs="Aptos"/>
            <w:sz w:val="22"/>
            <w:szCs w:val="22"/>
          </w:rPr>
          <w:t>Supervisione_rischio_ICT@pec.bancaditalia.it.»</w:t>
        </w:r>
      </w:hyperlink>
      <w:r w:rsidRPr="031F8293">
        <w:rPr>
          <w:rFonts w:ascii="Aptos" w:eastAsia="Aptos" w:hAnsi="Aptos" w:cs="Aptos"/>
          <w:sz w:val="22"/>
          <w:szCs w:val="22"/>
        </w:rPr>
        <w:t xml:space="preserve"> — (Rendicontazione e segnalazione) [1]</w:t>
      </w:r>
    </w:p>
    <w:p w14:paraId="549A0A34"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[2] «In caso di potenziale violazione di dati personali, si attiva il processo di Data </w:t>
      </w:r>
      <w:proofErr w:type="spellStart"/>
      <w:r w:rsidRPr="031F8293">
        <w:rPr>
          <w:rFonts w:ascii="Aptos" w:eastAsia="Aptos" w:hAnsi="Aptos" w:cs="Aptos"/>
          <w:sz w:val="22"/>
          <w:szCs w:val="22"/>
        </w:rPr>
        <w:t>Breach</w:t>
      </w:r>
      <w:proofErr w:type="spellEnd"/>
      <w:r w:rsidRPr="031F8293">
        <w:rPr>
          <w:rFonts w:ascii="Aptos" w:eastAsia="Aptos" w:hAnsi="Aptos" w:cs="Aptos"/>
          <w:sz w:val="22"/>
          <w:szCs w:val="22"/>
        </w:rPr>
        <w:t xml:space="preserve"> (vedi Manuale Operativo Data </w:t>
      </w:r>
      <w:proofErr w:type="spellStart"/>
      <w:r w:rsidRPr="031F8293">
        <w:rPr>
          <w:rFonts w:ascii="Aptos" w:eastAsia="Aptos" w:hAnsi="Aptos" w:cs="Aptos"/>
          <w:sz w:val="22"/>
          <w:szCs w:val="22"/>
        </w:rPr>
        <w:t>Breach</w:t>
      </w:r>
      <w:proofErr w:type="spellEnd"/>
      <w:r w:rsidRPr="031F8293">
        <w:rPr>
          <w:rFonts w:ascii="Aptos" w:eastAsia="Aptos" w:hAnsi="Aptos" w:cs="Aptos"/>
          <w:sz w:val="22"/>
          <w:szCs w:val="22"/>
        </w:rPr>
        <w:t xml:space="preserve"> pubblicato sulla Intranet aziendale).» — (Rendicontazione e segnalazione; Allegato 8.5/8.3) [2]</w:t>
      </w:r>
    </w:p>
    <w:p w14:paraId="348661B4"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[3] «La rendicontazione dipende dal livello di incident ed è frutto della collaborazione tra POW e SM. L’SM rendiconta l’accaduto, con comunicazione a POW o Incident Report qualora la gravità dell’incident sia elevata (...); POW integra i dati ricevuti con le informazioni relative alle tempistiche e aggiorna il registro degli incident;» — (Rendicontazione e segnalazione) [3]</w:t>
      </w:r>
    </w:p>
    <w:p w14:paraId="225F170D"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[4] «Tutti gli incidenti valutati gravi o potenzialmente tali saranno segnalati da POW a ISR/CYB e alle Funzioni Auditing e Compliance assieme alle informazioni disponibili al momento della segnalazione. Alla chiusura dell’incident tali informazioni saranno integrate con le relative relazioni di dettaglio.» — (Rendicontazione e segnalazione) [4]</w:t>
      </w:r>
    </w:p>
    <w:p w14:paraId="35040D56"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[5] «Il BCM informa il PCC, con il quale valuta l’eventuale attivazione del CDC. I membri del </w:t>
      </w:r>
      <w:proofErr w:type="spellStart"/>
      <w:r w:rsidRPr="031F8293">
        <w:rPr>
          <w:rFonts w:ascii="Aptos" w:eastAsia="Aptos" w:hAnsi="Aptos" w:cs="Aptos"/>
          <w:sz w:val="22"/>
          <w:szCs w:val="22"/>
        </w:rPr>
        <w:t>CdC</w:t>
      </w:r>
      <w:proofErr w:type="spellEnd"/>
      <w:r w:rsidRPr="031F8293">
        <w:rPr>
          <w:rFonts w:ascii="Aptos" w:eastAsia="Aptos" w:hAnsi="Aptos" w:cs="Aptos"/>
          <w:sz w:val="22"/>
          <w:szCs w:val="22"/>
        </w:rPr>
        <w:t xml:space="preserve"> vengono preallertati. Il PCC convoca il CDC, valuta la dichiarazione dello stato di crisi e, in tal caso, dispone per l’attivazione del Piano di Business Continuity. Il BCM gestisce la crisi </w:t>
      </w:r>
      <w:r w:rsidRPr="031F8293">
        <w:rPr>
          <w:rFonts w:ascii="Aptos" w:eastAsia="Aptos" w:hAnsi="Aptos" w:cs="Aptos"/>
          <w:sz w:val="22"/>
          <w:szCs w:val="22"/>
        </w:rPr>
        <w:lastRenderedPageBreak/>
        <w:t>attivando il Piano stesso.» — (Livelli di gravità dell’incidente e della crisi / Operatività e flusso) [5]</w:t>
      </w:r>
    </w:p>
    <w:p w14:paraId="77807E3F"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[6] «La valutazione del livello di gravità dell’incident e della crisi viene effettuata congiuntamente da POW, dal SM e, quando necessario, da ISR/CYB; in ogni caso l’incident che riguardi sistemi/servizi deve essere registrato sullo specifico “registro degli incident” in essere nell’ufficio di competenza. I CU POW e/o CU ISR/CYB, in caso sia necessario definire o innalzare il livello della crisi a 3 o 4, avvisano il BCM o, in sua assenza, il suo vice.» — (Operatività e flusso) [6]</w:t>
      </w:r>
    </w:p>
    <w:p w14:paraId="17782735"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[7] «Nel caso l’incident dal forte impatto sull’operatività aziendale (considerati MAJOR) è stata predisposta una checklist (Allegato 8.10) che supporti le strutture coinvolte nella gestione/risoluzione del disservizio.» — (Operatività e flusso / Allegato 8.10) [7]</w:t>
      </w:r>
    </w:p>
    <w:p w14:paraId="7784DA84"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[8] «Alcuni degli elementi che devono essere considerati nella valutazione del livello di gravità dell’incident: Orario, tempo stimato di durata dell’incident, n.ro utenti e/o clienti coinvolti, frequenza del problema, rischio, impatto su processi critici ai fini Business Continuity, con RTO &lt; 48 ore (...), risonanza pubblica e/o mediatica dell’incidente, incidente che comporta, o potrebbe comportare, la violazione di obblighi di legge o regolamentari.» — (Operatività e flusso) [8]</w:t>
      </w:r>
    </w:p>
    <w:p w14:paraId="3EBFF7FC"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[9] «Gli incidenti, il relativo livello di gravità, le cause, la durata e gli impatti vengono registrati tempestivamente sul sistema aziendale noto come “Serpentone” che è visualizzabile sulla Intranet aziendale ...» — (Livelli di gravità dell’incidente e della crisi) [9]</w:t>
      </w:r>
    </w:p>
    <w:p w14:paraId="6599461A"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[10] «Periodicamente vengono effettuate analisi a posteriori sulle cause delle anomalie registrate. In particolare: — Vengono rielaborate le cause degli incidenti registrati su “Serpentone” sulla base della gravità e della frequenza — Vengono approfonditi dai rispettivi SM i ticket applicativi aperti sulla base della frequenza e della ripetitività dello stesso ... Sulla base degli esiti delle analisi, vengono poi ingaggiati i SM per approfondire le cause primarie del Problem e stimare l’impegno richiesto per la risoluzione dello stesso. In base all’impegno richiesto e all’impatto ... DND provvede a definire il Problem </w:t>
      </w:r>
      <w:proofErr w:type="spellStart"/>
      <w:r w:rsidRPr="031F8293">
        <w:rPr>
          <w:rFonts w:ascii="Aptos" w:eastAsia="Aptos" w:hAnsi="Aptos" w:cs="Aptos"/>
          <w:sz w:val="22"/>
          <w:szCs w:val="22"/>
        </w:rPr>
        <w:t>Owner</w:t>
      </w:r>
      <w:proofErr w:type="spellEnd"/>
      <w:r w:rsidRPr="031F8293">
        <w:rPr>
          <w:rFonts w:ascii="Aptos" w:eastAsia="Aptos" w:hAnsi="Aptos" w:cs="Aptos"/>
          <w:sz w:val="22"/>
          <w:szCs w:val="22"/>
        </w:rPr>
        <w:t xml:space="preserve"> ...» — (Analisi e gestione dei Problem) [10]</w:t>
      </w:r>
    </w:p>
    <w:p w14:paraId="44233F31"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[11] </w:t>
      </w:r>
      <w:r w:rsidRPr="031F8293">
        <w:rPr>
          <w:rFonts w:ascii="Aptos" w:eastAsia="Aptos" w:hAnsi="Aptos" w:cs="Aptos"/>
          <w:b/>
          <w:bCs/>
          <w:sz w:val="22"/>
          <w:szCs w:val="22"/>
        </w:rPr>
        <w:t>Limitazione</w:t>
      </w:r>
      <w:r w:rsidRPr="031F8293">
        <w:rPr>
          <w:rFonts w:ascii="Aptos" w:eastAsia="Aptos" w:hAnsi="Aptos" w:cs="Aptos"/>
          <w:sz w:val="22"/>
          <w:szCs w:val="22"/>
        </w:rPr>
        <w:t xml:space="preserve">: le fonti fornite non contengono informazioni sufficienti riguardo a test di ripristino / attività di </w:t>
      </w:r>
      <w:proofErr w:type="spellStart"/>
      <w:r w:rsidRPr="031F8293">
        <w:rPr>
          <w:rFonts w:ascii="Aptos" w:eastAsia="Aptos" w:hAnsi="Aptos" w:cs="Aptos"/>
          <w:sz w:val="22"/>
          <w:szCs w:val="22"/>
        </w:rPr>
        <w:t>Disaster</w:t>
      </w:r>
      <w:proofErr w:type="spellEnd"/>
      <w:r w:rsidRPr="031F8293">
        <w:rPr>
          <w:rFonts w:ascii="Aptos" w:eastAsia="Aptos" w:hAnsi="Aptos" w:cs="Aptos"/>
          <w:sz w:val="22"/>
          <w:szCs w:val="22"/>
        </w:rPr>
        <w:t xml:space="preserve"> Recovery dettagliate (frequenza, responsabilità operative o risultati dei test). [11]</w:t>
      </w:r>
    </w:p>
    <w:p w14:paraId="173C1C49" w14:textId="77777777" w:rsidR="00A2164E" w:rsidRDefault="00A2164E" w:rsidP="00A2164E">
      <w:pPr>
        <w:rPr>
          <w:sz w:val="22"/>
          <w:szCs w:val="22"/>
        </w:rPr>
      </w:pPr>
    </w:p>
    <w:p w14:paraId="7815DC0E" w14:textId="77777777" w:rsidR="00A2164E" w:rsidRDefault="00A2164E" w:rsidP="00A2164E">
      <w:pPr>
        <w:pStyle w:val="Titolo2"/>
        <w:spacing w:before="299" w:after="299"/>
        <w:rPr>
          <w:rFonts w:ascii="Aptos" w:eastAsia="Aptos" w:hAnsi="Aptos" w:cs="Aptos"/>
          <w:b/>
          <w:bCs/>
          <w:sz w:val="22"/>
          <w:szCs w:val="22"/>
        </w:rPr>
      </w:pPr>
      <w:bookmarkStart w:id="7" w:name="_Toc211923392"/>
      <w:r w:rsidRPr="031F8293">
        <w:rPr>
          <w:rFonts w:ascii="Aptos" w:eastAsia="Aptos" w:hAnsi="Aptos" w:cs="Aptos"/>
          <w:b/>
          <w:bCs/>
          <w:sz w:val="22"/>
          <w:szCs w:val="22"/>
        </w:rPr>
        <w:t>Regolamento (UE) 2022/2554 — DORA (sezioni rilevanti, estratti tradotti in italiano)</w:t>
      </w:r>
      <w:bookmarkEnd w:id="7"/>
    </w:p>
    <w:p w14:paraId="79A8067C"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[1] </w:t>
      </w:r>
      <w:r w:rsidRPr="031F8293">
        <w:rPr>
          <w:rFonts w:ascii="Aptos" w:eastAsia="Aptos" w:hAnsi="Aptos" w:cs="Aptos"/>
          <w:b/>
          <w:bCs/>
          <w:sz w:val="22"/>
          <w:szCs w:val="22"/>
        </w:rPr>
        <w:t>(Paragrafo 4)</w:t>
      </w:r>
      <w:r w:rsidRPr="031F8293">
        <w:rPr>
          <w:rFonts w:ascii="Aptos" w:eastAsia="Aptos" w:hAnsi="Aptos" w:cs="Aptos"/>
          <w:sz w:val="22"/>
          <w:szCs w:val="22"/>
        </w:rPr>
        <w:t xml:space="preserve"> — «Prima di concludere un accordo contrattuale sull’uso di servizi ICT, le entità finanziarie devono: (a) valutare se l’accordo contrattuale riguarda l’uso di servizi ICT a supporto di una funzione critica o importante; … (d) svolgere tutta la dovuta diligenza sui potenziali fornitori terzi di servizi ICT e assicurarsi … che il fornitore terzo di servizi ICT sia idoneo;» [1]</w:t>
      </w:r>
    </w:p>
    <w:p w14:paraId="3E0DB790"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lastRenderedPageBreak/>
        <w:t xml:space="preserve">[2] </w:t>
      </w:r>
      <w:r w:rsidRPr="031F8293">
        <w:rPr>
          <w:rFonts w:ascii="Aptos" w:eastAsia="Aptos" w:hAnsi="Aptos" w:cs="Aptos"/>
          <w:b/>
          <w:bCs/>
          <w:sz w:val="22"/>
          <w:szCs w:val="22"/>
        </w:rPr>
        <w:t>(Paragrafo 5)</w:t>
      </w:r>
      <w:r w:rsidRPr="031F8293">
        <w:rPr>
          <w:rFonts w:ascii="Aptos" w:eastAsia="Aptos" w:hAnsi="Aptos" w:cs="Aptos"/>
          <w:sz w:val="22"/>
          <w:szCs w:val="22"/>
        </w:rPr>
        <w:t xml:space="preserve"> — «Le entità finanziarie possono stipulare accordi contrattuali solo con fornitori terzi di servizi ICT che rispettino standard adeguati di sicurezza delle informazioni. Quando tali accordi contrattuali riguardano funzioni critiche o importanti, le entità finanziarie, prima di concludere gli accordi, devono prendere dovuta considerazione dell’uso, da parte dei fornitori terzi di servizi ICT, degli standard di sicurezza delle informazioni più aggiornati e di più elevata qualità.» [2]</w:t>
      </w:r>
    </w:p>
    <w:p w14:paraId="2F47D42C"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[3] </w:t>
      </w:r>
      <w:r w:rsidRPr="031F8293">
        <w:rPr>
          <w:rFonts w:ascii="Aptos" w:eastAsia="Aptos" w:hAnsi="Aptos" w:cs="Aptos"/>
          <w:b/>
          <w:bCs/>
          <w:sz w:val="22"/>
          <w:szCs w:val="22"/>
        </w:rPr>
        <w:t>(Considerando 72)</w:t>
      </w:r>
      <w:r w:rsidRPr="031F8293">
        <w:rPr>
          <w:rFonts w:ascii="Aptos" w:eastAsia="Aptos" w:hAnsi="Aptos" w:cs="Aptos"/>
          <w:sz w:val="22"/>
          <w:szCs w:val="22"/>
        </w:rPr>
        <w:t xml:space="preserve"> — «cooperare pienamente con le autorità competenti e con le autorità di risoluzione dell’entità finanziaria; e prevedere disposizioni sui diritti di recesso e i relativi periodi minimi di preavviso per la cessazione degli accordi contrattuali, in conformità con le aspettative delle autorità competenti e delle autorità di risoluzione. … i contratti … dovrebbero inoltre prevedere … descrizioni complete dei livelli di servizio, con precisi obiettivi prestazionali quantitativi e qualitativi … i pertinenti periodi di preavviso e gli obblighi di rendicontazione … un requisito per il fornitore terzo di servizi ICT di implementare e testare piani di continuità operativa e di disporre di misure, strumenti e politiche di sicurezza ICT … e di partecipare e cooperare pienamente ai TLPT effettuati dall’entità finanziaria.» [3]</w:t>
      </w:r>
    </w:p>
    <w:p w14:paraId="71A3730C"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[4] </w:t>
      </w:r>
      <w:r w:rsidRPr="031F8293">
        <w:rPr>
          <w:rFonts w:ascii="Aptos" w:eastAsia="Aptos" w:hAnsi="Aptos" w:cs="Aptos"/>
          <w:b/>
          <w:bCs/>
          <w:sz w:val="22"/>
          <w:szCs w:val="22"/>
        </w:rPr>
        <w:t>(Considerando 73)</w:t>
      </w:r>
      <w:r w:rsidRPr="031F8293">
        <w:rPr>
          <w:rFonts w:ascii="Aptos" w:eastAsia="Aptos" w:hAnsi="Aptos" w:cs="Aptos"/>
          <w:sz w:val="22"/>
          <w:szCs w:val="22"/>
        </w:rPr>
        <w:t xml:space="preserve"> — «I contratti per la fornitura di servizi ICT che supportano funzioni critiche o importanti dovrebbero inoltre contenere disposizioni che consentano i diritti di accesso, ispezione e audit da parte dell’entità finanziaria, o di un terzo da essa incaricato, e il diritto di effettuare copie … unitamente alla piena cooperazione del fornitore durante le ispezioni. Analogamente, l’autorità competente dell’entità finanziaria dovrebbe avere il diritto, previa comunicazione, di ispezionare e sottoporre ad audit il fornitore terzo di servizi ICT, fatti salvi la protezione delle informazioni riservate.» [4]</w:t>
      </w:r>
    </w:p>
    <w:p w14:paraId="2681961C"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[5] </w:t>
      </w:r>
      <w:r w:rsidRPr="031F8293">
        <w:rPr>
          <w:rFonts w:ascii="Aptos" w:eastAsia="Aptos" w:hAnsi="Aptos" w:cs="Aptos"/>
          <w:b/>
          <w:bCs/>
          <w:sz w:val="22"/>
          <w:szCs w:val="22"/>
        </w:rPr>
        <w:t>(Considerando 74)</w:t>
      </w:r>
      <w:r w:rsidRPr="031F8293">
        <w:rPr>
          <w:rFonts w:ascii="Aptos" w:eastAsia="Aptos" w:hAnsi="Aptos" w:cs="Aptos"/>
          <w:sz w:val="22"/>
          <w:szCs w:val="22"/>
        </w:rPr>
        <w:t xml:space="preserve"> — «Tali accordi contrattuali dovrebbero inoltre prevedere strategie di uscita dedicate per consentire, in particolare, periodi di transizione obbligatori durante i quali i fornitori terzi di servizi ICT dovrebbero continuare a fornire i servizi pertinenti al fine di ridurre il rischio di interruzioni … o per consentire a queste ultime di passare efficacemente all’uso di altri fornitori terzi di servizi ICT o, in alternativa, a soluzioni interne … le entità finanziarie rientranti nell’ambito della direttiva 2014/59/UE dovrebbero assicurare che i relativi contratti per servizi ICT siano solidi e pienamente applicabili in caso di risoluzione di tali entità finanziarie.» [5]</w:t>
      </w:r>
    </w:p>
    <w:p w14:paraId="546888A9" w14:textId="77777777" w:rsidR="00A2164E" w:rsidRDefault="00A2164E" w:rsidP="00A2164E">
      <w:pPr>
        <w:spacing w:before="240" w:after="240"/>
        <w:rPr>
          <w:rFonts w:ascii="Aptos" w:eastAsia="Aptos" w:hAnsi="Aptos" w:cs="Aptos"/>
          <w:sz w:val="22"/>
          <w:szCs w:val="22"/>
        </w:rPr>
      </w:pPr>
      <w:r w:rsidRPr="031F8293">
        <w:rPr>
          <w:rFonts w:ascii="Aptos" w:eastAsia="Aptos" w:hAnsi="Aptos" w:cs="Aptos"/>
          <w:sz w:val="22"/>
          <w:szCs w:val="22"/>
        </w:rPr>
        <w:t xml:space="preserve">[6] </w:t>
      </w:r>
      <w:r w:rsidRPr="031F8293">
        <w:rPr>
          <w:rFonts w:ascii="Aptos" w:eastAsia="Aptos" w:hAnsi="Aptos" w:cs="Aptos"/>
          <w:b/>
          <w:bCs/>
          <w:sz w:val="22"/>
          <w:szCs w:val="22"/>
        </w:rPr>
        <w:t>(Paragrafo 3)</w:t>
      </w:r>
      <w:r w:rsidRPr="031F8293">
        <w:rPr>
          <w:rFonts w:ascii="Aptos" w:eastAsia="Aptos" w:hAnsi="Aptos" w:cs="Aptos"/>
          <w:sz w:val="22"/>
          <w:szCs w:val="22"/>
        </w:rPr>
        <w:t xml:space="preserve"> — «Gli accordi contrattuali sull’uso di servizi ICT a supporto di funzioni critiche o importanti devono includere … almeno i seguenti elementi: (a) descrizioni complete dei livelli di servizio, incluse revisioni e aggiornamenti degli stessi con precisi obiettivi prestazionali quantitativi e qualitativi …; (b) periodi di preavviso e obblighi di rendicontazione del fornitore terzo di servizi ICT …; (c) requisiti per il fornitore terzo di servizi ICT di implementare e testare piani di continuità operativa e di disporre di misure, strumenti e politiche di sicurezza ICT …; (d) l’obbligo per il fornitore terzo di servizi ICT di partecipare e cooperare pienamente ai TLPT dell’entità finanziaria, come indicato agli articoli 26 e 27; (e) il diritto di monitorare, su base continuativa, le prestazioni del fornitore terzo di servizi ICT …» [6]</w:t>
      </w:r>
    </w:p>
    <w:p w14:paraId="494FA917" w14:textId="77777777" w:rsidR="00A2164E" w:rsidRDefault="00A2164E" w:rsidP="00A2164E">
      <w:pPr>
        <w:spacing w:before="240" w:after="240"/>
        <w:rPr>
          <w:rFonts w:ascii="Aptos" w:eastAsia="Aptos" w:hAnsi="Aptos" w:cs="Aptos"/>
          <w:sz w:val="22"/>
          <w:szCs w:val="22"/>
        </w:rPr>
      </w:pPr>
      <w:r w:rsidRPr="3DD37099">
        <w:rPr>
          <w:rFonts w:ascii="Aptos" w:eastAsia="Aptos" w:hAnsi="Aptos" w:cs="Aptos"/>
          <w:sz w:val="22"/>
          <w:szCs w:val="22"/>
        </w:rPr>
        <w:t xml:space="preserve">[7] </w:t>
      </w:r>
      <w:r w:rsidRPr="3DD37099">
        <w:rPr>
          <w:rFonts w:ascii="Aptos" w:eastAsia="Aptos" w:hAnsi="Aptos" w:cs="Aptos"/>
          <w:b/>
          <w:bCs/>
          <w:sz w:val="22"/>
          <w:szCs w:val="22"/>
        </w:rPr>
        <w:t>(Articolo 11)</w:t>
      </w:r>
      <w:r w:rsidRPr="3DD37099">
        <w:rPr>
          <w:rFonts w:ascii="Aptos" w:eastAsia="Aptos" w:hAnsi="Aptos" w:cs="Aptos"/>
          <w:sz w:val="22"/>
          <w:szCs w:val="22"/>
        </w:rPr>
        <w:t xml:space="preserve"> — «1. … le entità finanziarie devono adottare una politica completa di continuità operativa ICT … 2. Le entità finanziarie attuano la politica di continuità operativa </w:t>
      </w:r>
      <w:r w:rsidRPr="3DD37099">
        <w:rPr>
          <w:rFonts w:ascii="Aptos" w:eastAsia="Aptos" w:hAnsi="Aptos" w:cs="Aptos"/>
          <w:sz w:val="22"/>
          <w:szCs w:val="22"/>
        </w:rPr>
        <w:lastRenderedPageBreak/>
        <w:t>ICT tramite … assetti, piani, procedure … finalizzati a: (a) garantire la continuità delle funzioni critiche o importanti dell’entità finanziaria; (b) rispondere a e risolvere rapidamente, in modo appropriato ed efficace, tutti gli incidenti correlati all’ICT …; (c) attivare, senza ritardi, piani dedicati … e procedure di risposta e ripristino su misura …; (d) stimare impatti, danni e perdite preliminari; (e) definire azioni di comunicazione e gestione della crisi … e riportare alle autorità competenti ai sensi dell’articolo 19. 3. … i relativi piani di risposta e ripristino ICT che, per le entità finanziarie diverse dalle microimprese, sono soggetti a revisioni indipendenti da parte dell’audit interno. 4. Le entità finanziarie devono predisporre, mantenere e testare periodicamente adeguati piani di continuità operativa ICT, in particolare con riguardo alle funzioni critiche o importanti esternalizzate o contrattualizzate con fornitori terzi di servizi ICT. 5. … le entità finanziarie devono condurre una Business Impact Analysis (BIA) … La BIA deve considerare la criticità delle funzioni di business identificate e mappate, dei processi di supporto, delle dipendenze da terze parti e degli asset informativi, e le loro interdipendenze. Le entità finanziarie devono assicurare che gli asset e i servizi ICT siano progettati e utilizzati in pieno allineamento con la BIA, in particolare per garantire adeguatamente la ridondanza di tutti i componenti critici.» [7]</w:t>
      </w:r>
    </w:p>
    <w:p w14:paraId="1016AE33" w14:textId="77777777" w:rsidR="00A2164E" w:rsidRDefault="00A2164E" w:rsidP="00A2164E">
      <w:pPr>
        <w:spacing w:before="240" w:after="240"/>
        <w:rPr>
          <w:rFonts w:ascii="Aptos" w:eastAsia="Aptos" w:hAnsi="Aptos" w:cs="Aptos"/>
          <w:sz w:val="22"/>
          <w:szCs w:val="22"/>
        </w:rPr>
      </w:pPr>
      <w:r w:rsidRPr="3DD37099">
        <w:rPr>
          <w:rFonts w:ascii="Aptos" w:eastAsia="Aptos" w:hAnsi="Aptos" w:cs="Aptos"/>
          <w:sz w:val="22"/>
          <w:szCs w:val="22"/>
        </w:rPr>
        <w:t xml:space="preserve">[8] </w:t>
      </w:r>
      <w:r w:rsidRPr="3DD37099">
        <w:rPr>
          <w:rFonts w:ascii="Aptos" w:eastAsia="Aptos" w:hAnsi="Aptos" w:cs="Aptos"/>
          <w:b/>
          <w:bCs/>
          <w:sz w:val="22"/>
          <w:szCs w:val="22"/>
        </w:rPr>
        <w:t>(ICT risk management framework)</w:t>
      </w:r>
      <w:r w:rsidRPr="3DD37099">
        <w:rPr>
          <w:rFonts w:ascii="Aptos" w:eastAsia="Aptos" w:hAnsi="Aptos" w:cs="Aptos"/>
          <w:sz w:val="22"/>
          <w:szCs w:val="22"/>
        </w:rPr>
        <w:t xml:space="preserve"> — «Il quadro di gestione del rischio ICT … deve essere documentato e riesaminato periodicamente e al verificarsi di incidenti ICT rilevanti in conformità con le istruzioni di vigilanza. Deve essere continuamente migliorato sulla base delle lezioni apprese dall’attuazione e dal monitoraggio. … Le AEV (</w:t>
      </w:r>
      <w:proofErr w:type="spellStart"/>
      <w:r w:rsidRPr="3DD37099">
        <w:rPr>
          <w:rFonts w:ascii="Aptos" w:eastAsia="Aptos" w:hAnsi="Aptos" w:cs="Aptos"/>
          <w:sz w:val="22"/>
          <w:szCs w:val="22"/>
        </w:rPr>
        <w:t>ESAs</w:t>
      </w:r>
      <w:proofErr w:type="spellEnd"/>
      <w:r w:rsidRPr="3DD37099">
        <w:rPr>
          <w:rFonts w:ascii="Aptos" w:eastAsia="Aptos" w:hAnsi="Aptos" w:cs="Aptos"/>
          <w:sz w:val="22"/>
          <w:szCs w:val="22"/>
        </w:rPr>
        <w:t>) … elaborano progetti di norme tecniche di regolamentazione comuni al fine di: (a) specificare ulteriormente gli elementi da includere nel quadro di gestione del rischio ICT …; (d) specificare ulteriormente le regole sulle prove dei piani di continuità operativa e assicurare l’efficacia dei controlli … e garantire che tali prove tengano debitamente conto di scenari in cui la qualità dell’erogazione di una funzione critica o importante si deteriora a un livello inaccettabile o fallisce; (e) specificare ulteriormente il contenuto e il formato della relazione sulla revisione del quadro di gestione del rischio ICT …» [8]</w:t>
      </w:r>
    </w:p>
    <w:p w14:paraId="5125A202" w14:textId="77777777" w:rsidR="00A2164E" w:rsidRDefault="00A2164E" w:rsidP="00A2164E">
      <w:pPr>
        <w:spacing w:before="240" w:after="240"/>
        <w:rPr>
          <w:rFonts w:ascii="Aptos" w:eastAsia="Aptos" w:hAnsi="Aptos" w:cs="Aptos"/>
          <w:sz w:val="22"/>
          <w:szCs w:val="22"/>
        </w:rPr>
      </w:pPr>
      <w:r w:rsidRPr="3DD37099">
        <w:rPr>
          <w:rFonts w:ascii="Aptos" w:eastAsia="Aptos" w:hAnsi="Aptos" w:cs="Aptos"/>
          <w:sz w:val="22"/>
          <w:szCs w:val="22"/>
        </w:rPr>
        <w:t xml:space="preserve">[9] </w:t>
      </w:r>
      <w:r w:rsidRPr="3DD37099">
        <w:rPr>
          <w:rFonts w:ascii="Aptos" w:eastAsia="Aptos" w:hAnsi="Aptos" w:cs="Aptos"/>
          <w:b/>
          <w:bCs/>
          <w:sz w:val="22"/>
          <w:szCs w:val="22"/>
        </w:rPr>
        <w:t xml:space="preserve">(Implementazione lezioni dai test e post-incident </w:t>
      </w:r>
      <w:proofErr w:type="spellStart"/>
      <w:r w:rsidRPr="3DD37099">
        <w:rPr>
          <w:rFonts w:ascii="Aptos" w:eastAsia="Aptos" w:hAnsi="Aptos" w:cs="Aptos"/>
          <w:b/>
          <w:bCs/>
          <w:sz w:val="22"/>
          <w:szCs w:val="22"/>
        </w:rPr>
        <w:t>analysis</w:t>
      </w:r>
      <w:proofErr w:type="spellEnd"/>
      <w:r w:rsidRPr="3DD37099">
        <w:rPr>
          <w:rFonts w:ascii="Aptos" w:eastAsia="Aptos" w:hAnsi="Aptos" w:cs="Aptos"/>
          <w:b/>
          <w:bCs/>
          <w:sz w:val="22"/>
          <w:szCs w:val="22"/>
        </w:rPr>
        <w:t>)</w:t>
      </w:r>
      <w:r w:rsidRPr="3DD37099">
        <w:rPr>
          <w:rFonts w:ascii="Aptos" w:eastAsia="Aptos" w:hAnsi="Aptos" w:cs="Aptos"/>
          <w:sz w:val="22"/>
          <w:szCs w:val="22"/>
        </w:rPr>
        <w:t xml:space="preserve"> — «(h) implementare, ove opportuno, le pertinenti conclusioni operative risultanti dalle prove di cui alla lettera (g) e dalle analisi post-incidente nel processo di valutazione del rischio ICT e sviluppare, in base alle esigenze e al profilo di rischio ICT, programmi di sensibilizzazione sulla sicurezza ICT e formazione sulla resilienza operativa digitale per il personale e il management.» [9]</w:t>
      </w:r>
    </w:p>
    <w:p w14:paraId="2BC50B82" w14:textId="77777777" w:rsidR="00A2164E" w:rsidRDefault="00A2164E" w:rsidP="00A2164E">
      <w:pPr>
        <w:spacing w:before="240" w:after="240"/>
        <w:rPr>
          <w:rFonts w:ascii="Aptos" w:eastAsia="Aptos" w:hAnsi="Aptos" w:cs="Aptos"/>
          <w:sz w:val="22"/>
          <w:szCs w:val="22"/>
        </w:rPr>
      </w:pPr>
      <w:r w:rsidRPr="3DD37099">
        <w:rPr>
          <w:rFonts w:ascii="Aptos" w:eastAsia="Aptos" w:hAnsi="Aptos" w:cs="Aptos"/>
          <w:sz w:val="22"/>
          <w:szCs w:val="22"/>
        </w:rPr>
        <w:t xml:space="preserve">[10] </w:t>
      </w:r>
      <w:r w:rsidRPr="3DD37099">
        <w:rPr>
          <w:rFonts w:ascii="Aptos" w:eastAsia="Aptos" w:hAnsi="Aptos" w:cs="Aptos"/>
          <w:b/>
          <w:bCs/>
          <w:sz w:val="22"/>
          <w:szCs w:val="22"/>
        </w:rPr>
        <w:t>(Articolo 20, armonizzazione reporting)</w:t>
      </w:r>
      <w:r w:rsidRPr="3DD37099">
        <w:rPr>
          <w:rFonts w:ascii="Aptos" w:eastAsia="Aptos" w:hAnsi="Aptos" w:cs="Aptos"/>
          <w:sz w:val="22"/>
          <w:szCs w:val="22"/>
        </w:rPr>
        <w:t xml:space="preserve"> — «Le AEV, tramite il Comitato Congiunto, e previa consultazione di ENISA e BCE, elaborano: (a) progetti comuni di norme tecniche di regolamentazione al fine di: (i) stabilire il contenuto delle relazioni per gli incidenti ICT maggiori … (ii) determinare i limiti temporali per la notifica iniziale e per ciascuna relazione di cui all’articolo 19, paragrafo 4; (iii) stabilire il contenuto della notifica per minacce informatiche significative. … (b) progetti comuni di norme tecniche di attuazione per stabilire moduli, modelli e procedure standard per le entità finanziarie per riportare un incidente ICT maggiore e notificare una minaccia informatica significativa. Le AEV trasmettono … alla Commissione entro il 17 luglio 2024.» [10]</w:t>
      </w:r>
    </w:p>
    <w:p w14:paraId="41573977" w14:textId="77777777" w:rsidR="00A2164E" w:rsidRDefault="00A2164E" w:rsidP="00A2164E">
      <w:pPr>
        <w:spacing w:before="240" w:after="240"/>
        <w:rPr>
          <w:rFonts w:ascii="Aptos" w:eastAsia="Aptos" w:hAnsi="Aptos" w:cs="Aptos"/>
          <w:sz w:val="22"/>
          <w:szCs w:val="22"/>
        </w:rPr>
      </w:pPr>
      <w:r w:rsidRPr="3DD37099">
        <w:rPr>
          <w:rFonts w:ascii="Aptos" w:eastAsia="Aptos" w:hAnsi="Aptos" w:cs="Aptos"/>
          <w:sz w:val="22"/>
          <w:szCs w:val="22"/>
        </w:rPr>
        <w:lastRenderedPageBreak/>
        <w:t xml:space="preserve">[11] </w:t>
      </w:r>
      <w:r w:rsidRPr="3DD37099">
        <w:rPr>
          <w:rFonts w:ascii="Aptos" w:eastAsia="Aptos" w:hAnsi="Aptos" w:cs="Aptos"/>
          <w:b/>
          <w:bCs/>
          <w:sz w:val="22"/>
          <w:szCs w:val="22"/>
        </w:rPr>
        <w:t>(Considerando generale su reporting)</w:t>
      </w:r>
      <w:r w:rsidRPr="3DD37099">
        <w:rPr>
          <w:rFonts w:ascii="Aptos" w:eastAsia="Aptos" w:hAnsi="Aptos" w:cs="Aptos"/>
          <w:sz w:val="22"/>
          <w:szCs w:val="22"/>
        </w:rPr>
        <w:t xml:space="preserve"> — «Per consentire alle autorità competenti di svolgere i ruoli di vigilanza … il presente regolamento dovrebbe stabilire un solido regime di segnalazione degli incidenti correlati all’ICT … È essenziale armonizzare il regime di segnalazione degli incidenti correlati all’ICT richiedendo a tutte le entità finanziarie di segnalare alle proprie autorità competenti tramite un unico quadro semplificato … le entità finanziarie dovrebbero poter, su base volontaria, notificare minacce informatiche significative all’autorità competente, quando ritengono che la minaccia informatica sia rilevante per il sistema finanziario, gli utenti dei servizi o i clienti.» [11]</w:t>
      </w:r>
    </w:p>
    <w:p w14:paraId="4A446FC2" w14:textId="77777777" w:rsidR="00A2164E" w:rsidRDefault="00A2164E" w:rsidP="00A2164E">
      <w:pPr>
        <w:spacing w:before="240" w:after="240"/>
        <w:rPr>
          <w:rFonts w:ascii="Aptos" w:eastAsia="Aptos" w:hAnsi="Aptos" w:cs="Aptos"/>
          <w:sz w:val="22"/>
          <w:szCs w:val="22"/>
        </w:rPr>
      </w:pPr>
      <w:r w:rsidRPr="3DD37099">
        <w:rPr>
          <w:rFonts w:ascii="Aptos" w:eastAsia="Aptos" w:hAnsi="Aptos" w:cs="Aptos"/>
          <w:sz w:val="22"/>
          <w:szCs w:val="22"/>
        </w:rPr>
        <w:t xml:space="preserve">[12] </w:t>
      </w:r>
      <w:r w:rsidRPr="3DD37099">
        <w:rPr>
          <w:rFonts w:ascii="Aptos" w:eastAsia="Aptos" w:hAnsi="Aptos" w:cs="Aptos"/>
          <w:b/>
          <w:bCs/>
          <w:sz w:val="22"/>
          <w:szCs w:val="22"/>
        </w:rPr>
        <w:t>(Notifiche cross-</w:t>
      </w:r>
      <w:proofErr w:type="spellStart"/>
      <w:r w:rsidRPr="3DD37099">
        <w:rPr>
          <w:rFonts w:ascii="Aptos" w:eastAsia="Aptos" w:hAnsi="Aptos" w:cs="Aptos"/>
          <w:b/>
          <w:bCs/>
          <w:sz w:val="22"/>
          <w:szCs w:val="22"/>
        </w:rPr>
        <w:t>border</w:t>
      </w:r>
      <w:proofErr w:type="spellEnd"/>
      <w:r w:rsidRPr="3DD37099">
        <w:rPr>
          <w:rFonts w:ascii="Aptos" w:eastAsia="Aptos" w:hAnsi="Aptos" w:cs="Aptos"/>
          <w:b/>
          <w:bCs/>
          <w:sz w:val="22"/>
          <w:szCs w:val="22"/>
        </w:rPr>
        <w:t>)</w:t>
      </w:r>
      <w:r w:rsidRPr="3DD37099">
        <w:rPr>
          <w:rFonts w:ascii="Aptos" w:eastAsia="Aptos" w:hAnsi="Aptos" w:cs="Aptos"/>
          <w:sz w:val="22"/>
          <w:szCs w:val="22"/>
        </w:rPr>
        <w:t xml:space="preserve"> — «La notifica da effettuarsi da parte dell’ESMA ai sensi del paragrafo 7 del presente articolo lascia impregiudicata la responsabilità dell’autorità competente di trasmettere con urgenza i dettagli dell’incidente ICT maggiore all’autorità competente dello Stato membro ospitante, qualora un depositario centrale di titoli svolga un’attività transfrontaliera significativa nello Stato membro ospitante, l’incidente ICT maggiore sia suscettibile di avere gravi conseguenze per i mercati finanziari dello Stato membro ospitante e laddove esistano accordi di cooperazione tra autorità competenti relativi alla vigilanza sulle entità finanziarie.» [12]</w:t>
      </w:r>
    </w:p>
    <w:p w14:paraId="3E804409" w14:textId="77777777" w:rsidR="00A2164E" w:rsidRDefault="00A2164E" w:rsidP="00A2164E">
      <w:pPr>
        <w:spacing w:before="240" w:after="240"/>
        <w:rPr>
          <w:rFonts w:ascii="Aptos" w:eastAsia="Aptos" w:hAnsi="Aptos" w:cs="Aptos"/>
          <w:sz w:val="22"/>
          <w:szCs w:val="22"/>
        </w:rPr>
      </w:pPr>
      <w:r w:rsidRPr="3DD37099">
        <w:rPr>
          <w:rFonts w:ascii="Aptos" w:eastAsia="Aptos" w:hAnsi="Aptos" w:cs="Aptos"/>
          <w:sz w:val="22"/>
          <w:szCs w:val="22"/>
        </w:rPr>
        <w:t xml:space="preserve">[13] </w:t>
      </w:r>
      <w:r w:rsidRPr="3DD37099">
        <w:rPr>
          <w:rFonts w:ascii="Aptos" w:eastAsia="Aptos" w:hAnsi="Aptos" w:cs="Aptos"/>
          <w:b/>
          <w:bCs/>
          <w:sz w:val="22"/>
          <w:szCs w:val="22"/>
        </w:rPr>
        <w:t>Limitazioni</w:t>
      </w:r>
      <w:r w:rsidRPr="3DD37099">
        <w:rPr>
          <w:rFonts w:ascii="Aptos" w:eastAsia="Aptos" w:hAnsi="Aptos" w:cs="Aptos"/>
          <w:sz w:val="22"/>
          <w:szCs w:val="22"/>
        </w:rPr>
        <w:t xml:space="preserve"> — le fonti a disposizione non contengono estratti espliciti riguardo a requisiti dettagliati su subappalto con approvazione preventiva del subappaltatore (</w:t>
      </w:r>
      <w:proofErr w:type="spellStart"/>
      <w:r w:rsidRPr="3DD37099">
        <w:rPr>
          <w:rFonts w:ascii="Aptos" w:eastAsia="Aptos" w:hAnsi="Aptos" w:cs="Aptos"/>
          <w:sz w:val="22"/>
          <w:szCs w:val="22"/>
        </w:rPr>
        <w:t>subcontracting</w:t>
      </w:r>
      <w:proofErr w:type="spellEnd"/>
      <w:r w:rsidRPr="3DD37099">
        <w:rPr>
          <w:rFonts w:ascii="Aptos" w:eastAsia="Aptos" w:hAnsi="Aptos" w:cs="Aptos"/>
          <w:sz w:val="22"/>
          <w:szCs w:val="22"/>
        </w:rPr>
        <w:t>/</w:t>
      </w:r>
      <w:proofErr w:type="spellStart"/>
      <w:r w:rsidRPr="3DD37099">
        <w:rPr>
          <w:rFonts w:ascii="Aptos" w:eastAsia="Aptos" w:hAnsi="Aptos" w:cs="Aptos"/>
          <w:sz w:val="22"/>
          <w:szCs w:val="22"/>
        </w:rPr>
        <w:t>approval</w:t>
      </w:r>
      <w:proofErr w:type="spellEnd"/>
      <w:r w:rsidRPr="3DD37099">
        <w:rPr>
          <w:rFonts w:ascii="Aptos" w:eastAsia="Aptos" w:hAnsi="Aptos" w:cs="Aptos"/>
          <w:sz w:val="22"/>
          <w:szCs w:val="22"/>
        </w:rPr>
        <w:t xml:space="preserve">) né a obblighi espliciti di localizzazione dei dati (data </w:t>
      </w:r>
      <w:proofErr w:type="spellStart"/>
      <w:r w:rsidRPr="3DD37099">
        <w:rPr>
          <w:rFonts w:ascii="Aptos" w:eastAsia="Aptos" w:hAnsi="Aptos" w:cs="Aptos"/>
          <w:sz w:val="22"/>
          <w:szCs w:val="22"/>
        </w:rPr>
        <w:t>localisation</w:t>
      </w:r>
      <w:proofErr w:type="spellEnd"/>
      <w:r w:rsidRPr="3DD37099">
        <w:rPr>
          <w:rFonts w:ascii="Aptos" w:eastAsia="Aptos" w:hAnsi="Aptos" w:cs="Aptos"/>
          <w:sz w:val="22"/>
          <w:szCs w:val="22"/>
        </w:rPr>
        <w:t>); pertanto non è stato possibile fornire estratti diretti su questi specifici punti dalle fonti analizzate. [13]</w:t>
      </w:r>
    </w:p>
    <w:p w14:paraId="61DA785F" w14:textId="77777777" w:rsidR="00A2164E" w:rsidRDefault="00A2164E" w:rsidP="00A2164E">
      <w:pPr>
        <w:rPr>
          <w:sz w:val="32"/>
          <w:szCs w:val="32"/>
          <w:highlight w:val="cyan"/>
        </w:rPr>
      </w:pPr>
    </w:p>
    <w:p w14:paraId="26C44145" w14:textId="77777777" w:rsidR="00A2164E" w:rsidRDefault="00A2164E"/>
    <w:sectPr w:rsidR="00A2164E" w:rsidSect="00A2164E">
      <w:pgSz w:w="11906" w:h="16838"/>
      <w:pgMar w:top="1417" w:right="1983"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0FBCC"/>
    <w:multiLevelType w:val="hybridMultilevel"/>
    <w:tmpl w:val="FFFFFFFF"/>
    <w:lvl w:ilvl="0" w:tplc="E86C017E">
      <w:start w:val="1"/>
      <w:numFmt w:val="bullet"/>
      <w:lvlText w:val=""/>
      <w:lvlJc w:val="left"/>
      <w:pPr>
        <w:ind w:left="720" w:hanging="360"/>
      </w:pPr>
      <w:rPr>
        <w:rFonts w:ascii="Symbol" w:hAnsi="Symbol" w:hint="default"/>
      </w:rPr>
    </w:lvl>
    <w:lvl w:ilvl="1" w:tplc="AC76CF84">
      <w:start w:val="1"/>
      <w:numFmt w:val="bullet"/>
      <w:lvlText w:val="o"/>
      <w:lvlJc w:val="left"/>
      <w:pPr>
        <w:ind w:left="1440" w:hanging="360"/>
      </w:pPr>
      <w:rPr>
        <w:rFonts w:ascii="Courier New" w:hAnsi="Courier New" w:hint="default"/>
      </w:rPr>
    </w:lvl>
    <w:lvl w:ilvl="2" w:tplc="B11C2D94">
      <w:start w:val="1"/>
      <w:numFmt w:val="bullet"/>
      <w:lvlText w:val=""/>
      <w:lvlJc w:val="left"/>
      <w:pPr>
        <w:ind w:left="2160" w:hanging="360"/>
      </w:pPr>
      <w:rPr>
        <w:rFonts w:ascii="Wingdings" w:hAnsi="Wingdings" w:hint="default"/>
      </w:rPr>
    </w:lvl>
    <w:lvl w:ilvl="3" w:tplc="F5CE877A">
      <w:start w:val="1"/>
      <w:numFmt w:val="bullet"/>
      <w:lvlText w:val=""/>
      <w:lvlJc w:val="left"/>
      <w:pPr>
        <w:ind w:left="2880" w:hanging="360"/>
      </w:pPr>
      <w:rPr>
        <w:rFonts w:ascii="Symbol" w:hAnsi="Symbol" w:hint="default"/>
      </w:rPr>
    </w:lvl>
    <w:lvl w:ilvl="4" w:tplc="F3443B20">
      <w:start w:val="1"/>
      <w:numFmt w:val="bullet"/>
      <w:lvlText w:val="o"/>
      <w:lvlJc w:val="left"/>
      <w:pPr>
        <w:ind w:left="3600" w:hanging="360"/>
      </w:pPr>
      <w:rPr>
        <w:rFonts w:ascii="Courier New" w:hAnsi="Courier New" w:hint="default"/>
      </w:rPr>
    </w:lvl>
    <w:lvl w:ilvl="5" w:tplc="A2869EAC">
      <w:start w:val="1"/>
      <w:numFmt w:val="bullet"/>
      <w:lvlText w:val=""/>
      <w:lvlJc w:val="left"/>
      <w:pPr>
        <w:ind w:left="4320" w:hanging="360"/>
      </w:pPr>
      <w:rPr>
        <w:rFonts w:ascii="Wingdings" w:hAnsi="Wingdings" w:hint="default"/>
      </w:rPr>
    </w:lvl>
    <w:lvl w:ilvl="6" w:tplc="A5D6986E">
      <w:start w:val="1"/>
      <w:numFmt w:val="bullet"/>
      <w:lvlText w:val=""/>
      <w:lvlJc w:val="left"/>
      <w:pPr>
        <w:ind w:left="5040" w:hanging="360"/>
      </w:pPr>
      <w:rPr>
        <w:rFonts w:ascii="Symbol" w:hAnsi="Symbol" w:hint="default"/>
      </w:rPr>
    </w:lvl>
    <w:lvl w:ilvl="7" w:tplc="513CD004">
      <w:start w:val="1"/>
      <w:numFmt w:val="bullet"/>
      <w:lvlText w:val="o"/>
      <w:lvlJc w:val="left"/>
      <w:pPr>
        <w:ind w:left="5760" w:hanging="360"/>
      </w:pPr>
      <w:rPr>
        <w:rFonts w:ascii="Courier New" w:hAnsi="Courier New" w:hint="default"/>
      </w:rPr>
    </w:lvl>
    <w:lvl w:ilvl="8" w:tplc="B0C6199C">
      <w:start w:val="1"/>
      <w:numFmt w:val="bullet"/>
      <w:lvlText w:val=""/>
      <w:lvlJc w:val="left"/>
      <w:pPr>
        <w:ind w:left="6480" w:hanging="360"/>
      </w:pPr>
      <w:rPr>
        <w:rFonts w:ascii="Wingdings" w:hAnsi="Wingdings" w:hint="default"/>
      </w:rPr>
    </w:lvl>
  </w:abstractNum>
  <w:abstractNum w:abstractNumId="1" w15:restartNumberingAfterBreak="0">
    <w:nsid w:val="67B797D0"/>
    <w:multiLevelType w:val="hybridMultilevel"/>
    <w:tmpl w:val="FFFFFFFF"/>
    <w:lvl w:ilvl="0" w:tplc="EBEC82B6">
      <w:start w:val="1"/>
      <w:numFmt w:val="bullet"/>
      <w:lvlText w:val=""/>
      <w:lvlJc w:val="left"/>
      <w:pPr>
        <w:ind w:left="720" w:hanging="360"/>
      </w:pPr>
      <w:rPr>
        <w:rFonts w:ascii="Symbol" w:hAnsi="Symbol" w:hint="default"/>
      </w:rPr>
    </w:lvl>
    <w:lvl w:ilvl="1" w:tplc="19A64410">
      <w:start w:val="1"/>
      <w:numFmt w:val="bullet"/>
      <w:lvlText w:val="o"/>
      <w:lvlJc w:val="left"/>
      <w:pPr>
        <w:ind w:left="1440" w:hanging="360"/>
      </w:pPr>
      <w:rPr>
        <w:rFonts w:ascii="Courier New" w:hAnsi="Courier New" w:hint="default"/>
      </w:rPr>
    </w:lvl>
    <w:lvl w:ilvl="2" w:tplc="682485D2">
      <w:start w:val="1"/>
      <w:numFmt w:val="bullet"/>
      <w:lvlText w:val=""/>
      <w:lvlJc w:val="left"/>
      <w:pPr>
        <w:ind w:left="2160" w:hanging="360"/>
      </w:pPr>
      <w:rPr>
        <w:rFonts w:ascii="Wingdings" w:hAnsi="Wingdings" w:hint="default"/>
      </w:rPr>
    </w:lvl>
    <w:lvl w:ilvl="3" w:tplc="60FAC4DE">
      <w:start w:val="1"/>
      <w:numFmt w:val="bullet"/>
      <w:lvlText w:val=""/>
      <w:lvlJc w:val="left"/>
      <w:pPr>
        <w:ind w:left="2880" w:hanging="360"/>
      </w:pPr>
      <w:rPr>
        <w:rFonts w:ascii="Symbol" w:hAnsi="Symbol" w:hint="default"/>
      </w:rPr>
    </w:lvl>
    <w:lvl w:ilvl="4" w:tplc="1DBE55EE">
      <w:start w:val="1"/>
      <w:numFmt w:val="bullet"/>
      <w:lvlText w:val="o"/>
      <w:lvlJc w:val="left"/>
      <w:pPr>
        <w:ind w:left="3600" w:hanging="360"/>
      </w:pPr>
      <w:rPr>
        <w:rFonts w:ascii="Courier New" w:hAnsi="Courier New" w:hint="default"/>
      </w:rPr>
    </w:lvl>
    <w:lvl w:ilvl="5" w:tplc="0C821748">
      <w:start w:val="1"/>
      <w:numFmt w:val="bullet"/>
      <w:lvlText w:val=""/>
      <w:lvlJc w:val="left"/>
      <w:pPr>
        <w:ind w:left="4320" w:hanging="360"/>
      </w:pPr>
      <w:rPr>
        <w:rFonts w:ascii="Wingdings" w:hAnsi="Wingdings" w:hint="default"/>
      </w:rPr>
    </w:lvl>
    <w:lvl w:ilvl="6" w:tplc="A184B3C4">
      <w:start w:val="1"/>
      <w:numFmt w:val="bullet"/>
      <w:lvlText w:val=""/>
      <w:lvlJc w:val="left"/>
      <w:pPr>
        <w:ind w:left="5040" w:hanging="360"/>
      </w:pPr>
      <w:rPr>
        <w:rFonts w:ascii="Symbol" w:hAnsi="Symbol" w:hint="default"/>
      </w:rPr>
    </w:lvl>
    <w:lvl w:ilvl="7" w:tplc="F936544E">
      <w:start w:val="1"/>
      <w:numFmt w:val="bullet"/>
      <w:lvlText w:val="o"/>
      <w:lvlJc w:val="left"/>
      <w:pPr>
        <w:ind w:left="5760" w:hanging="360"/>
      </w:pPr>
      <w:rPr>
        <w:rFonts w:ascii="Courier New" w:hAnsi="Courier New" w:hint="default"/>
      </w:rPr>
    </w:lvl>
    <w:lvl w:ilvl="8" w:tplc="CE4601F6">
      <w:start w:val="1"/>
      <w:numFmt w:val="bullet"/>
      <w:lvlText w:val=""/>
      <w:lvlJc w:val="left"/>
      <w:pPr>
        <w:ind w:left="6480" w:hanging="360"/>
      </w:pPr>
      <w:rPr>
        <w:rFonts w:ascii="Wingdings" w:hAnsi="Wingdings" w:hint="default"/>
      </w:rPr>
    </w:lvl>
  </w:abstractNum>
  <w:abstractNum w:abstractNumId="2" w15:restartNumberingAfterBreak="0">
    <w:nsid w:val="690CA19F"/>
    <w:multiLevelType w:val="hybridMultilevel"/>
    <w:tmpl w:val="FFFFFFFF"/>
    <w:lvl w:ilvl="0" w:tplc="CC14BCF4">
      <w:start w:val="1"/>
      <w:numFmt w:val="decimal"/>
      <w:lvlText w:val="%1."/>
      <w:lvlJc w:val="left"/>
      <w:pPr>
        <w:ind w:left="720" w:hanging="360"/>
      </w:pPr>
    </w:lvl>
    <w:lvl w:ilvl="1" w:tplc="61CA075C">
      <w:start w:val="1"/>
      <w:numFmt w:val="lowerLetter"/>
      <w:lvlText w:val="%2."/>
      <w:lvlJc w:val="left"/>
      <w:pPr>
        <w:ind w:left="1440" w:hanging="360"/>
      </w:pPr>
    </w:lvl>
    <w:lvl w:ilvl="2" w:tplc="9B3CDFF6">
      <w:start w:val="1"/>
      <w:numFmt w:val="lowerRoman"/>
      <w:lvlText w:val="%3."/>
      <w:lvlJc w:val="right"/>
      <w:pPr>
        <w:ind w:left="2160" w:hanging="180"/>
      </w:pPr>
    </w:lvl>
    <w:lvl w:ilvl="3" w:tplc="7F369CDC">
      <w:start w:val="1"/>
      <w:numFmt w:val="decimal"/>
      <w:lvlText w:val="%4."/>
      <w:lvlJc w:val="left"/>
      <w:pPr>
        <w:ind w:left="2880" w:hanging="360"/>
      </w:pPr>
    </w:lvl>
    <w:lvl w:ilvl="4" w:tplc="0FCC63D6">
      <w:start w:val="1"/>
      <w:numFmt w:val="lowerLetter"/>
      <w:lvlText w:val="%5."/>
      <w:lvlJc w:val="left"/>
      <w:pPr>
        <w:ind w:left="3600" w:hanging="360"/>
      </w:pPr>
    </w:lvl>
    <w:lvl w:ilvl="5" w:tplc="A26ED4B4">
      <w:start w:val="1"/>
      <w:numFmt w:val="lowerRoman"/>
      <w:lvlText w:val="%6."/>
      <w:lvlJc w:val="right"/>
      <w:pPr>
        <w:ind w:left="4320" w:hanging="180"/>
      </w:pPr>
    </w:lvl>
    <w:lvl w:ilvl="6" w:tplc="8738EC64">
      <w:start w:val="1"/>
      <w:numFmt w:val="decimal"/>
      <w:lvlText w:val="%7."/>
      <w:lvlJc w:val="left"/>
      <w:pPr>
        <w:ind w:left="5040" w:hanging="360"/>
      </w:pPr>
    </w:lvl>
    <w:lvl w:ilvl="7" w:tplc="6D027BDE">
      <w:start w:val="1"/>
      <w:numFmt w:val="lowerLetter"/>
      <w:lvlText w:val="%8."/>
      <w:lvlJc w:val="left"/>
      <w:pPr>
        <w:ind w:left="5760" w:hanging="360"/>
      </w:pPr>
    </w:lvl>
    <w:lvl w:ilvl="8" w:tplc="63620F06">
      <w:start w:val="1"/>
      <w:numFmt w:val="lowerRoman"/>
      <w:lvlText w:val="%9."/>
      <w:lvlJc w:val="right"/>
      <w:pPr>
        <w:ind w:left="6480" w:hanging="180"/>
      </w:pPr>
    </w:lvl>
  </w:abstractNum>
  <w:num w:numId="1" w16cid:durableId="606158990">
    <w:abstractNumId w:val="1"/>
  </w:num>
  <w:num w:numId="2" w16cid:durableId="26372801">
    <w:abstractNumId w:val="0"/>
  </w:num>
  <w:num w:numId="3" w16cid:durableId="498152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4E"/>
    <w:rsid w:val="000B0CBB"/>
    <w:rsid w:val="002C7BC7"/>
    <w:rsid w:val="007B5FAA"/>
    <w:rsid w:val="00A2164E"/>
    <w:rsid w:val="00AF78CC"/>
    <w:rsid w:val="00C25E66"/>
    <w:rsid w:val="00F31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5B0D1"/>
  <w15:chartTrackingRefBased/>
  <w15:docId w15:val="{93BF7A30-2B5B-43AB-87C0-A6329601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2164E"/>
    <w:rPr>
      <w:lang w:val="it-IT"/>
    </w:rPr>
  </w:style>
  <w:style w:type="paragraph" w:styleId="Titolo1">
    <w:name w:val="heading 1"/>
    <w:basedOn w:val="Normale"/>
    <w:next w:val="Normale"/>
    <w:link w:val="Titolo1Carattere"/>
    <w:uiPriority w:val="9"/>
    <w:qFormat/>
    <w:rsid w:val="00A21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21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2164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2164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2164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2164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2164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2164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2164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2164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2164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2164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2164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2164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2164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2164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2164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2164E"/>
    <w:rPr>
      <w:rFonts w:eastAsiaTheme="majorEastAsia" w:cstheme="majorBidi"/>
      <w:color w:val="272727" w:themeColor="text1" w:themeTint="D8"/>
    </w:rPr>
  </w:style>
  <w:style w:type="paragraph" w:styleId="Titolo">
    <w:name w:val="Title"/>
    <w:basedOn w:val="Normale"/>
    <w:next w:val="Normale"/>
    <w:link w:val="TitoloCarattere"/>
    <w:uiPriority w:val="10"/>
    <w:qFormat/>
    <w:rsid w:val="00A2164E"/>
    <w:pPr>
      <w:spacing w:after="80" w:line="240" w:lineRule="auto"/>
      <w:contextualSpacing/>
    </w:pPr>
    <w:rPr>
      <w:rFonts w:asciiTheme="majorHAnsi" w:eastAsiaTheme="majorEastAsia" w:hAnsiTheme="majorHAnsi" w:cstheme="majorBidi"/>
      <w:spacing w:val="-10"/>
      <w:kern w:val="28"/>
      <w:sz w:val="40"/>
      <w:szCs w:val="40"/>
    </w:rPr>
  </w:style>
  <w:style w:type="character" w:customStyle="1" w:styleId="TitoloCarattere">
    <w:name w:val="Titolo Carattere"/>
    <w:basedOn w:val="Carpredefinitoparagrafo"/>
    <w:link w:val="Titolo"/>
    <w:uiPriority w:val="10"/>
    <w:rsid w:val="00A2164E"/>
    <w:rPr>
      <w:rFonts w:asciiTheme="majorHAnsi" w:eastAsiaTheme="majorEastAsia" w:hAnsiTheme="majorHAnsi" w:cstheme="majorBidi"/>
      <w:spacing w:val="-10"/>
      <w:kern w:val="28"/>
      <w:sz w:val="40"/>
      <w:szCs w:val="40"/>
      <w:lang w:val="it-IT"/>
    </w:rPr>
  </w:style>
  <w:style w:type="paragraph" w:styleId="Sottotitolo">
    <w:name w:val="Subtitle"/>
    <w:basedOn w:val="Normale"/>
    <w:next w:val="Normale"/>
    <w:link w:val="SottotitoloCarattere"/>
    <w:uiPriority w:val="11"/>
    <w:qFormat/>
    <w:rsid w:val="00A2164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2164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216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2164E"/>
    <w:rPr>
      <w:i/>
      <w:iCs/>
      <w:color w:val="404040" w:themeColor="text1" w:themeTint="BF"/>
    </w:rPr>
  </w:style>
  <w:style w:type="paragraph" w:styleId="Paragrafoelenco">
    <w:name w:val="List Paragraph"/>
    <w:basedOn w:val="Normale"/>
    <w:uiPriority w:val="34"/>
    <w:qFormat/>
    <w:rsid w:val="00A2164E"/>
    <w:pPr>
      <w:ind w:left="720"/>
      <w:contextualSpacing/>
    </w:pPr>
  </w:style>
  <w:style w:type="character" w:styleId="Enfasiintensa">
    <w:name w:val="Intense Emphasis"/>
    <w:basedOn w:val="Carpredefinitoparagrafo"/>
    <w:uiPriority w:val="21"/>
    <w:qFormat/>
    <w:rsid w:val="00A2164E"/>
    <w:rPr>
      <w:i/>
      <w:iCs/>
      <w:color w:val="0F4761" w:themeColor="accent1" w:themeShade="BF"/>
    </w:rPr>
  </w:style>
  <w:style w:type="paragraph" w:styleId="Citazioneintensa">
    <w:name w:val="Intense Quote"/>
    <w:basedOn w:val="Normale"/>
    <w:next w:val="Normale"/>
    <w:link w:val="CitazioneintensaCarattere"/>
    <w:uiPriority w:val="30"/>
    <w:qFormat/>
    <w:rsid w:val="00A21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2164E"/>
    <w:rPr>
      <w:i/>
      <w:iCs/>
      <w:color w:val="0F4761" w:themeColor="accent1" w:themeShade="BF"/>
    </w:rPr>
  </w:style>
  <w:style w:type="character" w:styleId="Riferimentointenso">
    <w:name w:val="Intense Reference"/>
    <w:basedOn w:val="Carpredefinitoparagrafo"/>
    <w:uiPriority w:val="32"/>
    <w:qFormat/>
    <w:rsid w:val="00A2164E"/>
    <w:rPr>
      <w:b/>
      <w:bCs/>
      <w:smallCaps/>
      <w:color w:val="0F4761" w:themeColor="accent1" w:themeShade="BF"/>
      <w:spacing w:val="5"/>
    </w:rPr>
  </w:style>
  <w:style w:type="character" w:styleId="Collegamentoipertestuale">
    <w:name w:val="Hyperlink"/>
    <w:basedOn w:val="Carpredefinitoparagrafo"/>
    <w:uiPriority w:val="99"/>
    <w:unhideWhenUsed/>
    <w:rsid w:val="00A2164E"/>
    <w:rPr>
      <w:color w:val="467886" w:themeColor="hyperlink"/>
      <w:u w:val="single"/>
    </w:rPr>
  </w:style>
  <w:style w:type="paragraph" w:styleId="Titolosommario">
    <w:name w:val="TOC Heading"/>
    <w:basedOn w:val="Titolo1"/>
    <w:next w:val="Normale"/>
    <w:uiPriority w:val="39"/>
    <w:unhideWhenUsed/>
    <w:qFormat/>
    <w:rsid w:val="00A2164E"/>
    <w:pPr>
      <w:spacing w:before="240" w:after="0" w:line="259" w:lineRule="auto"/>
      <w:outlineLvl w:val="9"/>
    </w:pPr>
    <w:rPr>
      <w:kern w:val="0"/>
      <w:sz w:val="32"/>
      <w:szCs w:val="32"/>
      <w:lang w:val="en-US"/>
      <w14:ligatures w14:val="none"/>
    </w:rPr>
  </w:style>
  <w:style w:type="paragraph" w:styleId="Sommario1">
    <w:name w:val="toc 1"/>
    <w:basedOn w:val="Normale"/>
    <w:next w:val="Normale"/>
    <w:autoRedefine/>
    <w:uiPriority w:val="39"/>
    <w:unhideWhenUsed/>
    <w:rsid w:val="00A2164E"/>
    <w:pPr>
      <w:spacing w:after="100"/>
    </w:pPr>
  </w:style>
  <w:style w:type="paragraph" w:styleId="Sommario2">
    <w:name w:val="toc 2"/>
    <w:basedOn w:val="Normale"/>
    <w:next w:val="Normale"/>
    <w:autoRedefine/>
    <w:uiPriority w:val="39"/>
    <w:unhideWhenUsed/>
    <w:rsid w:val="00A2164E"/>
    <w:pPr>
      <w:spacing w:after="100"/>
      <w:ind w:left="240"/>
    </w:pPr>
  </w:style>
  <w:style w:type="paragraph" w:styleId="Sommario3">
    <w:name w:val="toc 3"/>
    <w:basedOn w:val="Normale"/>
    <w:next w:val="Normale"/>
    <w:autoRedefine/>
    <w:uiPriority w:val="39"/>
    <w:unhideWhenUsed/>
    <w:rsid w:val="00A2164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pervisione_rischio_ICT@pec.bancaditalia.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7DB50-06A1-48DE-A9AA-863B999C3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4096</Words>
  <Characters>23348</Characters>
  <Application>Microsoft Office Word</Application>
  <DocSecurity>0</DocSecurity>
  <Lines>194</Lines>
  <Paragraphs>54</Paragraphs>
  <ScaleCrop>false</ScaleCrop>
  <Company/>
  <LinksUpToDate>false</LinksUpToDate>
  <CharactersWithSpaces>27390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Consulente1</dc:creator>
  <cp:keywords/>
  <dc:description/>
  <cp:lastModifiedBy>Consulente1</cp:lastModifiedBy>
  <cp:revision>5</cp:revision>
  <cp:lastPrinted>2025-10-21T05:16:00Z</cp:lastPrinted>
  <dcterms:created xsi:type="dcterms:W3CDTF">2025-10-06T10:07:00Z</dcterms:created>
  <dcterms:modified xsi:type="dcterms:W3CDTF">2025-10-21T05:16:00Z</dcterms:modified>
</cp:coreProperties>
</file>