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hipepzy8sg" w:id="0"/>
      <w:bookmarkEnd w:id="0"/>
      <w:r w:rsidDel="00000000" w:rsidR="00000000" w:rsidRPr="00000000">
        <w:rPr>
          <w:rtl w:val="0"/>
        </w:rPr>
        <w:t xml:space="preserve">PDF INTEGRATIVO - Progetto BGLP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db9j0v7cor8j" w:id="1"/>
      <w:bookmarkEnd w:id="1"/>
      <w:r w:rsidDel="00000000" w:rsidR="00000000" w:rsidRPr="00000000">
        <w:rPr>
          <w:rtl w:val="0"/>
        </w:rPr>
        <w:t xml:space="preserve">Gambero Rosso SpA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presentazione su prezi.com: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https://prezi.com/view/ukgjoza86waKvR9QUDmP/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Nel seguente documento sono riportati i dati e le formule usate nell’analisi di Bilancio, nello specifico nel calcolo della piramide del ROE e nell’analisi finanziaria accompagnate da un breve commento qualora necessario.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right"/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Voce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2018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2017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Acq. di Beni e servizi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5.052.618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4.641.943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Ammortamenti Totale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1.200.822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1.108.323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Costo della Produzione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10.438.555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9.537.777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Crediti v/Clienti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5.987.352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6.158.253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Debiti v/Fornitori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2.806.510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2.819.337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659.609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705.147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EBITDA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1.860.431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1.813.470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Equity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11.167.430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11.120.334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MT_f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3.117.867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2.699.362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Reddito Lordo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450.423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498.992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Reddito Netto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115.329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141.916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Ricavi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11.110.341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10.193.123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Rimanenze Finali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370.641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382.818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Rimanenze Iniziali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382.818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333.017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Totale Proventi ed Oneri finanziari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-209.186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-206.008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-----------------------------------------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-----------------------------------------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-----------------------------------------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Attivo Fisso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11.699.758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11.737.050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Passivo Consolidato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3.325.410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4231.039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Liquidità Immediate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51.921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289.081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Liquidità Differite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15.719.187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15.445.505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Passivo 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13.463.487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12.649.358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Attivo 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16.371.897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16.310.776</w:t>
            </w:r>
          </w:p>
        </w:tc>
      </w:tr>
      <w:tr>
        <w:trPr>
          <w:trHeight w:val="545.0000000000001" w:hRule="atLeast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Posizione Finanziaria Netta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3.065.946</w:t>
            </w:r>
          </w:p>
        </w:tc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2.410.281</w:t>
            </w:r>
          </w:p>
        </w:tc>
      </w:tr>
    </w:tbl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f5kzys9dp89" w:id="2"/>
      <w:bookmarkEnd w:id="2"/>
      <w:r w:rsidDel="00000000" w:rsidR="00000000" w:rsidRPr="00000000">
        <w:rPr>
          <w:rtl w:val="0"/>
        </w:rPr>
        <w:t xml:space="preserve">Piramide ROE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EBITDA = Vendite - Δ Rimanenze - Costo della Produzione + Ammortamenti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EBIT = Vendite - Δ Rimanenze - Costo della Produzione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Reddito Lordo = EBIT +/- Area Finanziaria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Reddito Netto = Reddito Lordo +/- Area Fiscale +/- Area Straordinaria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ROE  = RN/Equity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ROI = EBIT/(Equity + MT_f)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ROS = EBIT/Vendite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ROT = Vendite/(Equity + MT_f)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ROT SCOMPOSTO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Giacenze crediti commerciali = 365*(Crediti v. Clienti/Vendite)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Giacenze debiti commerciali = 365*(Debiti v. fornitori/Acq di Beni e servizi)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Giacenza prodotti = 365*(Media Rimanenze/Vendite)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Gambero Rosso SpA in Bilancio segna la presenza di Prodotti finiti e non quella di materie prime perché delega ad altre aziende la stampa di riviste e guide, quindi non abbiamo calcolato la giacenza delle materie.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ROD = OF/MT_f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 = MT_f/Equity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 = RN/RL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r04r37n0gk2f" w:id="3"/>
      <w:bookmarkEnd w:id="3"/>
      <w:r w:rsidDel="00000000" w:rsidR="00000000" w:rsidRPr="00000000">
        <w:rPr>
          <w:rtl w:val="0"/>
        </w:rPr>
        <w:t xml:space="preserve">Analisi Finanziaria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Solidità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Margine di Struttura 1 = Equity - Attivo Fisso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Margine di Struttura 2 = (Equity + PCS) - Attivo Fisso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Margine di Tesoreria = (Liquidità Immediata + Liquidità Differita) - Passivo Corrente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Liquidità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Current Ratio = (Liquidità Immediata + Liquidità Differita + Disponibilità)/Passivo Corrente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Quick Ratio = (Liquidità Immediata + Liquidità Differita)/Passivo Corrente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Rischio Finanziario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Posizione Finanziaria Netta = Debiti finanziari a breve + Debiti finanziari non a breve - Cassa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Gambero Rosso SpA non presenta in Bilancio Crediti finanziari non a breve, quindi l’abbiamo omesso nella formula della PFN.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Indice di Copertura Finanziaria = PFN/EBIT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ukgjoza86waKvR9QUDmP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