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color w:val="1A365D"/>
          <w:sz w:val="44"/>
        </w:rPr>
        <w:t>FLIGHTDECK — SYSTEM ARCHITECTURE SPECIFICATION</w:t>
      </w:r>
    </w:p>
    <w:p>
      <w:pPr>
        <w:spacing w:after="480"/>
        <w:jc w:val="center"/>
      </w:pPr>
      <w:r>
        <w:rPr>
          <w:i/>
          <w:color w:val="718096"/>
          <w:sz w:val="24"/>
        </w:rPr>
        <w:t>Shipaton 2026 Production Blueprint (Swift + Firebase + RevenueCat)</w:t>
      </w:r>
    </w:p>
    <w:p>
      <w:pPr>
        <w:keepNext/>
        <w:spacing w:before="360" w:after="120"/>
      </w:pPr>
      <w:r>
        <w:rPr>
          <w:rFonts w:ascii="Arial" w:hAnsi="Arial"/>
          <w:b/>
          <w:color w:val="1A365D"/>
          <w:sz w:val="32"/>
        </w:rPr>
        <w:t>1. Executive Summary &amp; Market Positioning</w:t>
      </w:r>
    </w:p>
    <w:p>
      <w:r>
        <w:t>FlightDeck is a high-performance, mobile-first DevOps control center engineered for independent iOS developers and scaling teams. Instead of forcing infrastructure operators to rely on heavy desktop browser terminals or unsafe local SSH setups, FlightDeck exposes instant, encrypted deployment controls, emergency webhooks, and status infrastructure management right on the iPhone lock screen via Apple's native frameworks.</w:t>
      </w:r>
    </w:p>
    <w:p>
      <w:r>
        <w:t>By integrating with established web service layers (Vercel, GitHub, Supabase, and Netlify) through isolated backend proxy infrastructure, FlightDeck guarantees a robust 30-second presentation demo while executing an aggressive zero-overhead financial runway ($0 production threshold) during the hackathon judging cycle.</w:t>
      </w:r>
    </w:p>
    <w:p>
      <w:pPr>
        <w:keepNext/>
        <w:spacing w:before="360" w:after="120"/>
      </w:pPr>
      <w:r>
        <w:rPr>
          <w:rFonts w:ascii="Arial" w:hAnsi="Arial"/>
          <w:b/>
          <w:color w:val="1A365D"/>
          <w:sz w:val="32"/>
        </w:rPr>
        <w:t>2. Strategic System Architecture Matrix</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fill="1A365D"/>
          </w:tcPr>
          <w:p>
            <w:r>
              <w:rPr>
                <w:b/>
                <w:color w:val="FFFFFF"/>
              </w:rPr>
              <w:t>Metric Layer</w:t>
            </w:r>
          </w:p>
        </w:tc>
        <w:tc>
          <w:tcPr>
            <w:tcW w:type="dxa" w:w="2340"/>
            <w:shd w:fill="1A365D"/>
          </w:tcPr>
          <w:p>
            <w:r>
              <w:rPr>
                <w:b/>
                <w:color w:val="FFFFFF"/>
              </w:rPr>
              <w:t>Free Tier Specs</w:t>
            </w:r>
          </w:p>
        </w:tc>
        <w:tc>
          <w:tcPr>
            <w:tcW w:type="dxa" w:w="2340"/>
            <w:shd w:fill="1A365D"/>
          </w:tcPr>
          <w:p>
            <w:r>
              <w:rPr>
                <w:b/>
                <w:color w:val="FFFFFF"/>
              </w:rPr>
              <w:t>Premium Subscription</w:t>
            </w:r>
          </w:p>
        </w:tc>
        <w:tc>
          <w:tcPr>
            <w:tcW w:type="dxa" w:w="2340"/>
            <w:shd w:fill="1A365D"/>
          </w:tcPr>
          <w:p>
            <w:r>
              <w:rPr>
                <w:b/>
                <w:color w:val="FFFFFF"/>
              </w:rPr>
              <w:t>Strategic Hackathon Justification</w:t>
            </w:r>
          </w:p>
        </w:tc>
      </w:tr>
      <w:tr>
        <w:tc>
          <w:tcPr>
            <w:tcW w:type="dxa" w:w="2340"/>
          </w:tcPr>
          <w:p>
            <w:r>
              <w:t>RevenueCat Tracking</w:t>
            </w:r>
          </w:p>
        </w:tc>
        <w:tc>
          <w:tcPr>
            <w:tcW w:type="dxa" w:w="2340"/>
          </w:tcPr>
          <w:p>
            <w:r>
              <w:t>Free tier tracking up to $2,500 Monthly Tracked Revenue (MTR).</w:t>
            </w:r>
          </w:p>
        </w:tc>
        <w:tc>
          <w:tcPr>
            <w:tcW w:type="dxa" w:w="2340"/>
          </w:tcPr>
          <w:p>
            <w:r>
              <w:t>1% variable execution fee on monthly revenue processed over $2,500.</w:t>
            </w:r>
          </w:p>
        </w:tc>
        <w:tc>
          <w:tcPr>
            <w:tcW w:type="dxa" w:w="2340"/>
          </w:tcPr>
          <w:p>
            <w:r>
              <w:t>Provides $0 initial platform operational cost. Satisfies monetization tracking criteria.</w:t>
            </w:r>
          </w:p>
        </w:tc>
      </w:tr>
      <w:tr>
        <w:tc>
          <w:tcPr>
            <w:tcW w:type="dxa" w:w="2340"/>
            <w:shd w:fill="F7FAFC"/>
          </w:tcPr>
          <w:p>
            <w:r>
              <w:t>Firebase Core Auth</w:t>
            </w:r>
          </w:p>
        </w:tc>
        <w:tc>
          <w:tcPr>
            <w:tcW w:type="dxa" w:w="2340"/>
            <w:shd w:fill="F7FAFC"/>
          </w:tcPr>
          <w:p>
            <w:r>
              <w:t>50,000 Monthly Active Users (MAU) for native ecosystem sign-ins.</w:t>
            </w:r>
          </w:p>
        </w:tc>
        <w:tc>
          <w:tcPr>
            <w:tcW w:type="dxa" w:w="2340"/>
            <w:shd w:fill="F7FAFC"/>
          </w:tcPr>
          <w:p>
            <w:r>
              <w:t>Pay-As-You-Go tier above initial 50k MAU limit.</w:t>
            </w:r>
          </w:p>
        </w:tc>
        <w:tc>
          <w:tcPr>
            <w:tcW w:type="dxa" w:w="2340"/>
            <w:shd w:fill="F7FAFC"/>
          </w:tcPr>
          <w:p>
            <w:r>
              <w:t>Zero-cost validation setup. Offers immediate Apple Sign-In profile provisioning.</w:t>
            </w:r>
          </w:p>
        </w:tc>
      </w:tr>
      <w:tr>
        <w:tc>
          <w:tcPr>
            <w:tcW w:type="dxa" w:w="2340"/>
          </w:tcPr>
          <w:p>
            <w:r>
              <w:t>Cloud Infrastructure</w:t>
            </w:r>
          </w:p>
        </w:tc>
        <w:tc>
          <w:tcPr>
            <w:tcW w:type="dxa" w:w="2340"/>
          </w:tcPr>
          <w:p>
            <w:r>
              <w:t>1 project profile with up to 3 manual webhook endpoints.</w:t>
            </w:r>
          </w:p>
        </w:tc>
        <w:tc>
          <w:tcPr>
            <w:tcW w:type="dxa" w:w="2340"/>
          </w:tcPr>
          <w:p>
            <w:r>
              <w:t>Infinite multi-project dashboards, automated execution profiles, team synchronization.</w:t>
            </w:r>
          </w:p>
        </w:tc>
        <w:tc>
          <w:tcPr>
            <w:tcW w:type="dxa" w:w="2340"/>
          </w:tcPr>
          <w:p>
            <w:r>
              <w:t>Creates a highly compelling commercial B2B software package for production operators.</w:t>
            </w:r>
          </w:p>
        </w:tc>
      </w:tr>
      <w:tr>
        <w:tc>
          <w:tcPr>
            <w:tcW w:type="dxa" w:w="2340"/>
            <w:shd w:fill="F7FAFC"/>
          </w:tcPr>
          <w:p>
            <w:r>
              <w:t>Native iOS Systems</w:t>
            </w:r>
          </w:p>
        </w:tc>
        <w:tc>
          <w:tcPr>
            <w:tcW w:type="dxa" w:w="2340"/>
            <w:shd w:fill="F7FAFC"/>
          </w:tcPr>
          <w:p>
            <w:r>
              <w:t>Standard custom SwiftUI widget modules and local console views.</w:t>
            </w:r>
          </w:p>
        </w:tc>
        <w:tc>
          <w:tcPr>
            <w:tcW w:type="dxa" w:w="2340"/>
            <w:shd w:fill="F7FAFC"/>
          </w:tcPr>
          <w:p>
            <w:r>
              <w:t>Live Activities lock screen pipeline, automated Siri Shortcut macros.</w:t>
            </w:r>
          </w:p>
        </w:tc>
        <w:tc>
          <w:tcPr>
            <w:tcW w:type="dxa" w:w="2340"/>
            <w:shd w:fill="F7FAFC"/>
          </w:tcPr>
          <w:p>
            <w:r>
              <w:t>Enforces high technical differentiation scores via core hardware system layers.</w:t>
            </w:r>
          </w:p>
        </w:tc>
      </w:tr>
    </w:tbl>
    <w:p>
      <w:pPr>
        <w:spacing w:before="240"/>
      </w:pPr>
    </w:p>
    <w:p>
      <w:pPr>
        <w:keepNext/>
        <w:spacing w:before="360" w:after="120"/>
      </w:pPr>
      <w:r>
        <w:rPr>
          <w:rFonts w:ascii="Arial" w:hAnsi="Arial"/>
          <w:b/>
          <w:color w:val="1A365D"/>
          <w:sz w:val="32"/>
        </w:rPr>
        <w:t>3. Database Schema Blueprint (Firestore)</w:t>
      </w:r>
    </w:p>
    <w:p>
      <w:r>
        <w:t>To protect administrative API infrastructure and remain within the 20,000 daily free Firestore write restrictions, document nodes are normalized into localized subcollections under private authenticated user reference trees:</w:t>
      </w:r>
    </w:p>
    <w:p>
      <w:pPr>
        <w:ind w:left="720"/>
      </w:pPr>
      <w:r>
        <w:rPr>
          <w:rFonts w:ascii="Consolas" w:hAnsi="Consolas"/>
          <w:color w:val="2D3748"/>
          <w:sz w:val="19"/>
        </w:rPr>
        <w:t>/users (Collection)</w:t>
        <w:br/>
        <w:t xml:space="preserve">   └── [userId] (Document)</w:t>
        <w:br/>
        <w:t xml:space="preserve">        ├── tier: String ("free" | "premium")</w:t>
        <w:br/>
        <w:t xml:space="preserve">        ├── createdAt: Timestamp</w:t>
        <w:br/>
        <w:t xml:space="preserve">        └── /decks (Subcollection)</w:t>
        <w:br/>
        <w:t xml:space="preserve">             └── [deckId] (Document)</w:t>
        <w:br/>
        <w:t xml:space="preserve">                  ├── name: String (e.g., "Vercel Micro-Services")</w:t>
        <w:br/>
        <w:t xml:space="preserve">                  ├── isActive: Boolean</w:t>
        <w:br/>
        <w:t xml:space="preserve">                  └── /buttons (Subcollection)</w:t>
        <w:br/>
        <w:t xml:space="preserve">                       └── [buttonId] (Document)</w:t>
        <w:br/>
        <w:t xml:space="preserve">                            ├── label: String ("Trigger Production Rollback")</w:t>
        <w:br/>
        <w:t xml:space="preserve">                            ├── webhookUrl: String (Encrypted Parameter Bundle)</w:t>
        <w:br/>
        <w:t xml:space="preserve">                            ├── iconName: String (SF Symbol Core Mapping ID)</w:t>
        <w:br/>
        <w:t xml:space="preserve">                            └── lastTriggered: Timestamp</w:t>
      </w:r>
    </w:p>
    <w:p>
      <w:pPr>
        <w:keepNext/>
        <w:spacing w:before="360" w:after="120"/>
      </w:pPr>
      <w:r>
        <w:rPr>
          <w:rFonts w:ascii="Arial" w:hAnsi="Arial"/>
          <w:b/>
          <w:color w:val="1A365D"/>
          <w:sz w:val="32"/>
        </w:rPr>
        <w:t>4. Technical Implementation Layer</w:t>
      </w:r>
    </w:p>
    <w:p>
      <w:pPr>
        <w:keepNext/>
        <w:spacing w:before="240" w:after="80"/>
      </w:pPr>
      <w:r>
        <w:rPr>
          <w:rFonts w:ascii="Arial" w:hAnsi="Arial"/>
          <w:b/>
          <w:color w:val="2B6CB0"/>
          <w:sz w:val="26"/>
        </w:rPr>
        <w:t>4.1 Local Client Controller (SwiftUI)</w:t>
      </w:r>
    </w:p>
    <w:p>
      <w:pPr>
        <w:ind w:left="576"/>
      </w:pPr>
      <w:r>
        <w:rPr>
          <w:rFonts w:ascii="Consolas" w:hAnsi="Consolas"/>
          <w:color w:val="006600"/>
          <w:sz w:val="18"/>
        </w:rPr>
        <w:t>import SwiftUI</w:t>
        <w:br/>
        <w:t>import RevenueCatUI</w:t>
        <w:br/>
        <w:br/>
        <w:t>struct DeckButtonView: View {</w:t>
        <w:br/>
        <w:t xml:space="preserve">    let buttonLabel: String</w:t>
        <w:br/>
        <w:t xml:space="preserve">    let iconName: String</w:t>
        <w:br/>
        <w:t xml:space="preserve">    let isPremiumFeature: Bool</w:t>
        <w:br/>
        <w:t xml:space="preserve">    @State private var isUserPremium = false</w:t>
        <w:br/>
        <w:t xml:space="preserve">    @State private var showPaywall = false</w:t>
        <w:br/>
        <w:t xml:space="preserve">    @State private var isTriggering = false</w:t>
        <w:br/>
        <w:t xml:space="preserve">    </w:t>
        <w:br/>
        <w:t xml:space="preserve">    var body: some View {</w:t>
        <w:br/>
        <w:t xml:space="preserve">        Button(action: {</w:t>
        <w:br/>
        <w:t xml:space="preserve">            if isPremiumFeature &amp;&amp; !isUserPremium {</w:t>
        <w:br/>
        <w:t xml:space="preserve">                showPaywall = true</w:t>
        <w:br/>
        <w:t xml:space="preserve">            } else {</w:t>
        <w:br/>
        <w:t xml:space="preserve">                triggerWebhook()</w:t>
        <w:br/>
        <w:t xml:space="preserve">            }</w:t>
        <w:br/>
        <w:t xml:space="preserve">        }) {</w:t>
        <w:br/>
        <w:t xml:space="preserve">            VStack(spacing: 12) {</w:t>
        <w:br/>
        <w:t xml:space="preserve">                Image(systemName: iconName)</w:t>
        <w:br/>
        <w:t xml:space="preserve">                    .font(.system(size: 28, weight: .light))</w:t>
        <w:br/>
        <w:t xml:space="preserve">                    .foregroundColor(isTriggering ? .green : .primary)</w:t>
        <w:br/>
        <w:t xml:space="preserve">                Text(buttonLabel)</w:t>
        <w:br/>
        <w:t xml:space="preserve">                    .font(.caption)</w:t>
        <w:br/>
        <w:t xml:space="preserve">                    .fontWeight(.medium)</w:t>
        <w:br/>
        <w:t xml:space="preserve">            }</w:t>
        <w:br/>
        <w:t xml:space="preserve">            .frame(maxWidth: .infinity, minHeight: 100)</w:t>
        <w:br/>
        <w:t xml:space="preserve">            .background(RoundedRectangle(cornerRadius: 16).fill(Color(.secondarySystemBackground)))</w:t>
        <w:br/>
        <w:t xml:space="preserve">        }</w:t>
        <w:br/>
        <w:t xml:space="preserve">        .sheet(isPresented: $showPaywall) {</w:t>
        <w:br/>
        <w:t xml:space="preserve">            PaywallView(displayCloseButton: true)</w:t>
        <w:br/>
        <w:t xml:space="preserve">                .onPurchaseCompleted { customerInfo in</w:t>
        <w:br/>
        <w:t xml:space="preserve">                    if customerInfo.entitlements["premium"]?.isActive == true {</w:t>
        <w:br/>
        <w:t xml:space="preserve">                        isUserPremium = true</w:t>
        <w:br/>
        <w:t xml:space="preserve">                        showPaywall = false</w:t>
        <w:br/>
        <w:t xml:space="preserve">                    }</w:t>
        <w:br/>
        <w:t xml:space="preserve">                }</w:t>
        <w:br/>
        <w:t xml:space="preserve">        }</w:t>
        <w:br/>
        <w:t xml:space="preserve">    }</w:t>
        <w:br/>
        <w:t>}</w:t>
      </w:r>
    </w:p>
    <w:p>
      <w:pPr>
        <w:keepNext/>
        <w:spacing w:before="360" w:after="120"/>
      </w:pPr>
      <w:r>
        <w:rPr>
          <w:rFonts w:ascii="Arial" w:hAnsi="Arial"/>
          <w:b/>
          <w:color w:val="1A365D"/>
          <w:sz w:val="32"/>
        </w:rPr>
        <w:t>5. Presentation &amp; Submission Framework</w:t>
      </w:r>
    </w:p>
    <w:p>
      <w:r>
        <w:t>To capture top tier technical validation during the judging lifecycle, implementation must follow a rigorous phase timeline:</w:t>
      </w:r>
    </w:p>
    <w:p>
      <w:pPr>
        <w:pStyle w:val="ListBullet"/>
      </w:pPr>
      <w:r>
        <w:rPr>
          <w:b/>
        </w:rPr>
        <w:t xml:space="preserve">Milestone Execution Video: </w:t>
      </w:r>
      <w:r>
        <w:t>Provide a continuous 30-second recording demonstrating immediate execution of the primary webhook via native lock screen widgets, illustrating zero UI rendering lag.</w:t>
      </w:r>
    </w:p>
    <w:p>
      <w:pPr>
        <w:pStyle w:val="ListBullet"/>
      </w:pPr>
      <w:r>
        <w:rPr>
          <w:b/>
        </w:rPr>
        <w:t xml:space="preserve">Production Sandboxing: </w:t>
      </w:r>
      <w:r>
        <w:t>Ship all early evaluation tokens via active Apple TestFlight environments. Embed structural RevenueCat tracking payloads into code configurations to verify system interaction status.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