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ChemStock 非機能要件定義</w:t>
      </w:r>
    </w:p>
    <w:p>
      <w:r>
        <w:t>対象：大学の研究室と溶媒庫で使う溶媒在庫管理システム。研究室ごとの在庫管理に加え、初回リリースでは指定数量監視と欠品予測を提供する。本書は、継続運用・安全性・権限・監査など、機能を支える条件を定める。機能の詳細条件は「DXコア機能_要件定義.md」を参照する。</w:t>
      </w:r>
    </w:p>
    <w:p>
      <w:r>
        <w:t>読み方：NFR は非機能要件の ID。数値や運用方法が未決定の項目は末尾の「要確認事項」にまとめた。</w:t>
      </w:r>
    </w:p>
    <w:p>
      <w:pPr>
        <w:pStyle w:val="Heading1"/>
        <w:keepNext/>
      </w:pPr>
      <w:r>
        <w:t>1  初回リリースで決まっていること</w:t>
      </w:r>
    </w:p>
    <w:tbl>
      <w:tblPr>
        <w:tblW w:type="auto" w:w="0"/>
        <w:tblLayout w:type="fixed"/>
        <w:tblLook w:firstColumn="1" w:firstRow="1" w:lastColumn="0" w:lastRow="0" w:noHBand="0" w:noVBand="1" w:val="04A0"/>
      </w:tblPr>
      <w:tblGrid>
        <w:gridCol w:w="4772"/>
        <w:gridCol w:w="4772"/>
      </w:tblGrid>
      <w:tr>
        <w:trPr>
          <w:tblHeader/>
        </w:trPr>
        <w:tc>
          <w:tcPr>
            <w:tcW w:type="dxa" w:w="1800"/>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項目</w:t>
            </w:r>
          </w:p>
        </w:tc>
        <w:tc>
          <w:tcPr>
            <w:tcW w:type="dxa" w:w="7992"/>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決定内容</w:t>
            </w:r>
          </w:p>
        </w:tc>
      </w:tr>
      <w:tr>
        <w:tc>
          <w:tcPr>
            <w:tcW w:type="dxa" w:w="1800"/>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在庫の範囲</w:t>
            </w:r>
          </w:p>
        </w:tc>
        <w:tc>
          <w:tcPr>
            <w:tcW w:type="dxa" w:w="799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単一の溶媒庫にある全研究室の在庫を対象とする。研究室の居室・実験室で保管する分は対象外。</w:t>
            </w:r>
          </w:p>
        </w:tc>
      </w:tr>
      <w:tr>
        <w:tc>
          <w:tcPr>
            <w:tcW w:type="dxa" w:w="1800"/>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指定数量</w:t>
            </w:r>
          </w:p>
        </w:tc>
        <w:tc>
          <w:tcPr>
            <w:tcW w:type="dxa" w:w="7992"/>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全研究室分を合算。警告しきい値（既定0.8倍）以上1.0倍未満は管理者画面の接近表示、1.0倍以上は管理者向けアプリ内通知。警告しきい値はChemStock独自の早期警告値。</w:t>
            </w:r>
          </w:p>
        </w:tc>
      </w:tr>
      <w:tr>
        <w:tc>
          <w:tcPr>
            <w:tcW w:type="dxa" w:w="1800"/>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欠品予測</w:t>
            </w:r>
          </w:p>
        </w:tc>
        <w:tc>
          <w:tcPr>
            <w:tcW w:type="dxa" w:w="799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自研究室の出庫実績から下限に達する見込みをホームとグラフに表示する。</w:t>
            </w:r>
          </w:p>
        </w:tc>
      </w:tr>
      <w:tr>
        <w:tc>
          <w:tcPr>
            <w:tcW w:type="dxa" w:w="1800"/>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通知手段</w:t>
            </w:r>
          </w:p>
        </w:tc>
        <w:tc>
          <w:tcPr>
            <w:tcW w:type="dxa" w:w="7992"/>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初回は指定数量超過のアプリ内通知のみ。残量低下は画面で示し、通知履歴を作らない。メール通知は初回後の候補。</w:t>
            </w:r>
          </w:p>
        </w:tc>
      </w:tr>
    </w:tbl>
    <w:p>
      <w:pPr>
        <w:spacing w:after="0"/>
      </w:pPr>
    </w:p>
    <w:p>
      <w:pPr>
        <w:pStyle w:val="Heading1"/>
        <w:keepNext/>
      </w:pPr>
      <w:r>
        <w:t>2  可用性と性能</w:t>
      </w:r>
    </w:p>
    <w:p>
      <w:pPr>
        <w:keepLines/>
      </w:pPr>
      <w:r>
        <w:rPr>
          <w:b/>
        </w:rPr>
        <w:t xml:space="preserve">NFR-01  稼働　</w:t>
      </w:r>
      <w:r>
        <w:t>研究・実験の業務に支障が出ないよう、継続して利用できること。稼働率の目標値と運用時間は要確認。</w:t>
      </w:r>
    </w:p>
    <w:p>
      <w:pPr>
        <w:keepLines/>
      </w:pPr>
      <w:r>
        <w:rPr>
          <w:b/>
        </w:rPr>
        <w:t xml:space="preserve">NFR-02  障害への備え　</w:t>
      </w:r>
      <w:r>
        <w:t>障害に備えてバックアップと復旧手段を用意する。冗長化の要否、取得間隔、保存期間、復旧目標は要確認。</w:t>
      </w:r>
    </w:p>
    <w:p>
      <w:pPr>
        <w:keepLines/>
      </w:pPr>
      <w:r>
        <w:rPr>
          <w:b/>
        </w:rPr>
        <w:t xml:space="preserve">NFR-03  応答と同時利用　</w:t>
      </w:r>
      <w:r>
        <w:t>スマートフォンでの操作を含め、通常の画面表示や在庫操作が業務を妨げないこと。想定利用者数、同時アクセス数、応答時間の目標値は要確認。</w:t>
      </w:r>
    </w:p>
    <w:p>
      <w:pPr>
        <w:keepLines/>
      </w:pPr>
      <w:r>
        <w:rPr>
          <w:b/>
        </w:rPr>
        <w:t xml:space="preserve">NFR-04  データ保管　</w:t>
      </w:r>
      <w:r>
        <w:t>在庫・履歴・監査ログ・通知履歴を運用に必要な期間保持する。期間と削除・保管方法は要確認。</w:t>
      </w:r>
    </w:p>
    <w:p>
      <w:pPr>
        <w:pStyle w:val="Heading1"/>
        <w:keepNext/>
      </w:pPr>
      <w:r>
        <w:t>3  セキュリティとアクセス範囲</w:t>
      </w:r>
    </w:p>
    <w:p>
      <w:pPr>
        <w:keepLines/>
      </w:pPr>
      <w:r>
        <w:rPr>
          <w:b/>
        </w:rPr>
        <w:t xml:space="preserve">NFR-05  認証　</w:t>
      </w:r>
      <w:r>
        <w:t>パスワードでログインした本学の学生・教員だけがアクセスできるようにする。</w:t>
      </w:r>
    </w:p>
    <w:p>
      <w:pPr>
        <w:keepLines/>
      </w:pPr>
      <w:r>
        <w:rPr>
          <w:b/>
        </w:rPr>
        <w:t xml:space="preserve">NFR-06  研究室ごとの権限　</w:t>
      </w:r>
      <w:r>
        <w:t>研究室単位で閲覧と変更を制御する。研究室ユーザーと溶媒庫管理者が扱う研究室別在庫・履歴・入出庫申請・研究室別溶媒種類は、所属研究室のものに限る。他研究室のデータは変更できない。指定数量の全研究室合算と通知は溶媒庫管理者・全体管理者が確認できる。</w:t>
      </w:r>
    </w:p>
    <w:p>
      <w:pPr>
        <w:keepLines/>
      </w:pPr>
      <w:r>
        <w:rPr>
          <w:b/>
        </w:rPr>
        <w:t xml:space="preserve">NFR-07  通信　</w:t>
      </w:r>
      <w:r>
        <w:t>通信をHTTPSで暗号化する。</w:t>
      </w:r>
    </w:p>
    <w:p>
      <w:pPr>
        <w:keepLines/>
      </w:pPr>
      <w:r>
        <w:rPr>
          <w:b/>
        </w:rPr>
        <w:t xml:space="preserve">NFR-08  実操作者の記録　</w:t>
      </w:r>
      <w:r>
        <w:t>研究室単位の共有アカウントを使うため、入出庫時には実操作者名を手入力し、後から誰がどの溶媒を扱ったか確認できるようにする。</w:t>
      </w:r>
    </w:p>
    <w:p>
      <w:pPr>
        <w:pStyle w:val="Heading1"/>
        <w:keepNext/>
      </w:pPr>
      <w:r>
        <w:t>4  データの正確さと操作の安全性</w:t>
      </w:r>
    </w:p>
    <w:p>
      <w:pPr>
        <w:keepLines/>
      </w:pPr>
      <w:r>
        <w:rPr>
          <w:b/>
        </w:rPr>
        <w:t xml:space="preserve">NFR-09  在庫と履歴の整合　</w:t>
      </w:r>
      <w:r>
        <w:t>入出庫・取消・編集後の在庫量と履歴を整合させる。取消済み履歴は在庫計算から除外して保持し、物理削除しない。在庫・履歴がある溶媒種類は利用停止として扱う。</w:t>
      </w:r>
    </w:p>
    <w:p>
      <w:pPr>
        <w:keepLines/>
      </w:pPr>
      <w:r>
        <w:rPr>
          <w:b/>
        </w:rPr>
        <w:t xml:space="preserve">NFR-10  同時更新　</w:t>
      </w:r>
      <w:r>
        <w:t>研究室をまたぐ在庫更新でも指定数量超過の判定を漏らさない。指定数量に影響する更新と通知の判定・記録は、同一トランザクションで整合させる。</w:t>
      </w:r>
    </w:p>
    <w:p>
      <w:pPr>
        <w:keepLines/>
      </w:pPr>
      <w:r>
        <w:rPr>
          <w:b/>
        </w:rPr>
        <w:t xml:space="preserve">NFR-11  操作ミスの防止　</w:t>
      </w:r>
      <w:r>
        <w:t>取消・利用停止・しきい値変更など影響の大きい操作には確認画面または確認ダイアログを設ける。</w:t>
      </w:r>
    </w:p>
    <w:p>
      <w:pPr>
        <w:pStyle w:val="Heading1"/>
        <w:keepNext/>
      </w:pPr>
      <w:r>
        <w:t>5  監査とログ</w:t>
      </w:r>
    </w:p>
    <w:p>
      <w:pPr>
        <w:keepLines/>
      </w:pPr>
      <w:r>
        <w:rPr>
          <w:b/>
        </w:rPr>
        <w:t xml:space="preserve">NFR-12  変更の監査　</w:t>
      </w:r>
      <w:r>
        <w:t>取消、入出庫申請編集、研究室別溶媒種類の追加・削除・利用停止、しきい値変更では、対象ID、操作日時、実操作者名、理由、変更前後の内容を記録し、後から確認できるようにする。</w:t>
      </w:r>
    </w:p>
    <w:p>
      <w:pPr>
        <w:keepLines/>
      </w:pPr>
      <w:r>
        <w:rPr>
          <w:b/>
        </w:rPr>
        <w:t xml:space="preserve">NFR-13  操作ログ　</w:t>
      </w:r>
      <w:r>
        <w:t>入庫・出庫・取消・編集・利用停止・しきい値変更・指定数量超過通知の操作ログを、問い合わせ対応や運用改善に使えるよう保持する。残量低下の画面表示だけでは通知操作ログを作らない。</w:t>
      </w:r>
    </w:p>
    <w:p>
      <w:pPr>
        <w:pStyle w:val="Heading1"/>
        <w:keepNext/>
      </w:pPr>
      <w:r>
        <w:t>6  指定数量と通知の運用</w:t>
      </w:r>
    </w:p>
    <w:p>
      <w:r>
        <w:t>指定数量は溶媒ごとの保管量をその溶媒の指定数量で割り、溶媒庫全体で合算する。指定数量の値はデータとして管理し、アプリのコードに固定しない。下表の0.8は警告しきい値の既定値であり、設定で変更できる。</w:t>
      </w:r>
    </w:p>
    <w:tbl>
      <w:tblPr>
        <w:tblW w:type="auto" w:w="0"/>
        <w:tblLayout w:type="fixed"/>
        <w:tblLook w:firstColumn="1" w:firstRow="1" w:lastColumn="0" w:lastRow="0" w:noHBand="0" w:noVBand="1" w:val="04A0"/>
      </w:tblPr>
      <w:tblGrid>
        <w:gridCol w:w="3181"/>
        <w:gridCol w:w="3181"/>
        <w:gridCol w:w="3181"/>
      </w:tblGrid>
      <w:tr>
        <w:trPr>
          <w:tblHeader/>
        </w:trPr>
        <w:tc>
          <w:tcPr>
            <w:tcW w:type="dxa" w:w="2232"/>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合算倍率</w:t>
            </w:r>
          </w:p>
        </w:tc>
        <w:tc>
          <w:tcPr>
            <w:tcW w:type="dxa" w:w="4032"/>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管理者への表示</w:t>
            </w:r>
          </w:p>
        </w:tc>
        <w:tc>
          <w:tcPr>
            <w:tcW w:type="dxa" w:w="3528"/>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通知履歴</w:t>
            </w:r>
          </w:p>
        </w:tc>
      </w:tr>
      <w:tr>
        <w:tc>
          <w:tcPr>
            <w:tcW w:type="dxa" w:w="223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0.8未満</w:t>
            </w:r>
          </w:p>
        </w:tc>
        <w:tc>
          <w:tcPr>
            <w:tcW w:type="dxa" w:w="403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正常</w:t>
            </w:r>
          </w:p>
        </w:tc>
        <w:tc>
          <w:tcPr>
            <w:tcW w:type="dxa" w:w="3528"/>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作らない</w:t>
            </w:r>
          </w:p>
        </w:tc>
      </w:tr>
      <w:tr>
        <w:tc>
          <w:tcPr>
            <w:tcW w:type="dxa" w:w="2232"/>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0.8以上 1.0未満</w:t>
            </w:r>
          </w:p>
        </w:tc>
        <w:tc>
          <w:tcPr>
            <w:tcW w:type="dxa" w:w="4032"/>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接近</w:t>
            </w:r>
          </w:p>
        </w:tc>
        <w:tc>
          <w:tcPr>
            <w:tcW w:type="dxa" w:w="3528"/>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作らない</w:t>
            </w:r>
          </w:p>
        </w:tc>
      </w:tr>
      <w:tr>
        <w:tc>
          <w:tcPr>
            <w:tcW w:type="dxa" w:w="223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1.0以上</w:t>
            </w:r>
          </w:p>
        </w:tc>
        <w:tc>
          <w:tcPr>
            <w:tcW w:type="dxa" w:w="4032"/>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超過</w:t>
            </w:r>
          </w:p>
        </w:tc>
        <w:tc>
          <w:tcPr>
            <w:tcW w:type="dxa" w:w="3528"/>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指定数量超過を作る</w:t>
            </w:r>
          </w:p>
        </w:tc>
      </w:tr>
    </w:tbl>
    <w:p>
      <w:pPr>
        <w:spacing w:after="0"/>
      </w:pPr>
    </w:p>
    <w:p>
      <w:pPr>
        <w:keepLines/>
      </w:pPr>
      <w:r>
        <w:rPr>
          <w:b/>
        </w:rPr>
        <w:t xml:space="preserve">NFR-14  通知の確認と対応　</w:t>
      </w:r>
      <w:r>
        <w:t>指定数量超過の通知履歴を保存し、未確認・確認済み・対応済みの状態を管理する。全体管理者と溶媒庫管理者が全件を確認でき、研究室ユーザーには表示しない。</w:t>
      </w:r>
    </w:p>
    <w:p>
      <w:pPr>
        <w:keepLines/>
      </w:pPr>
      <w:r>
        <w:rPr>
          <w:b/>
        </w:rPr>
        <w:t xml:space="preserve">NFR-15  残量低下の扱い　</w:t>
      </w:r>
      <w:r>
        <w:t>残量低下と欠品予測は、自研究室のホームバナー・在庫画面・グラフで確認できるようにする。残量低下の通知履歴は作らない。</w:t>
      </w:r>
    </w:p>
    <w:p>
      <w:pPr>
        <w:pStyle w:val="Heading1"/>
        <w:keepNext/>
      </w:pPr>
      <w:r>
        <w:t>7  保守・拡張・移行</w:t>
      </w:r>
    </w:p>
    <w:p>
      <w:pPr>
        <w:keepLines/>
      </w:pPr>
      <w:r>
        <w:rPr>
          <w:b/>
        </w:rPr>
        <w:t xml:space="preserve">NFR-16  設定値の変更　</w:t>
      </w:r>
      <w:r>
        <w:t>在庫下限、指定数量、警告しきい値、残量表示単位、単位換算値、研究室別溶媒種類の利用状態を運用後に変更できるよう管理する。法令上の指定数量値の変更にも対応できること。</w:t>
      </w:r>
    </w:p>
    <w:p>
      <w:pPr>
        <w:keepLines/>
      </w:pPr>
      <w:r>
        <w:rPr>
          <w:b/>
        </w:rPr>
        <w:t xml:space="preserve">NFR-17  機能の拡張　</w:t>
      </w:r>
      <w:r>
        <w:t>機能追加しやすい構成とし、入出庫・取消・編集・通知・残量推移などのデータを将来の使用量予測や補充推奨に利用できるようにする。</w:t>
      </w:r>
    </w:p>
    <w:p>
      <w:pPr>
        <w:keepLines/>
      </w:pPr>
      <w:r>
        <w:rPr>
          <w:b/>
        </w:rPr>
        <w:t xml:space="preserve">NFR-18  初期データ　</w:t>
      </w:r>
      <w:r>
        <w:t>本番では仮の在庫・入出庫履歴を引き継がず、研究室が確認した初期在庫から記録を始める。実際の出庫履歴ができるまで欠品予測日は表示しない。</w:t>
      </w:r>
    </w:p>
    <w:p>
      <w:pPr>
        <w:pStyle w:val="Heading1"/>
        <w:keepNext/>
      </w:pPr>
      <w:r>
        <w:t>8  要確認事項</w:t>
      </w:r>
    </w:p>
    <w:p>
      <w:r>
        <w:t>以下は元の要件メモで数値や方法が定まっていない項目。公開前に運用担当者と決め、該当する NFR に反映する。</w:t>
      </w:r>
    </w:p>
    <w:tbl>
      <w:tblPr>
        <w:tblW w:type="auto" w:w="0"/>
        <w:tblLayout w:type="fixed"/>
        <w:tblLook w:firstColumn="1" w:firstRow="1" w:lastColumn="0" w:lastRow="0" w:noHBand="0" w:noVBand="1" w:val="04A0"/>
      </w:tblPr>
      <w:tblGrid>
        <w:gridCol w:w="4772"/>
        <w:gridCol w:w="4772"/>
      </w:tblGrid>
      <w:tr>
        <w:trPr>
          <w:tblHeader/>
        </w:trPr>
        <w:tc>
          <w:tcPr>
            <w:tcW w:type="dxa" w:w="1728"/>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対応要件</w:t>
            </w:r>
          </w:p>
        </w:tc>
        <w:tc>
          <w:tcPr>
            <w:tcW w:type="dxa" w:w="8064"/>
            <w:tcBorders>
              <w:top w:val="single" w:sz="4" w:color="D9D9D9"/>
              <w:left w:val="single" w:sz="4" w:color="D9D9D9"/>
              <w:bottom w:val="single" w:sz="4" w:color="D9D9D9"/>
              <w:right w:val="single" w:sz="4" w:color="D9D9D9"/>
            </w:tcBorders>
            <w:vAlign w:val="center"/>
            <w:shd w:fill="E8EEF1"/>
          </w:tcPr>
          <w:p>
            <w:pPr>
              <w:spacing w:after="20" w:before="20" w:line="264" w:lineRule="auto"/>
            </w:pPr>
            <w:r>
              <w:rPr>
                <w:b/>
                <w:sz w:val="17"/>
              </w:rPr>
              <w:t>決めること</w:t>
            </w:r>
          </w:p>
        </w:tc>
      </w:tr>
      <w:tr>
        <w:tc>
          <w:tcPr>
            <w:tcW w:type="dxa" w:w="1728"/>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NFR-01</w:t>
            </w:r>
          </w:p>
        </w:tc>
        <w:tc>
          <w:tcPr>
            <w:tcW w:type="dxa" w:w="8064"/>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稼働率の目標値、運用時間</w:t>
            </w:r>
          </w:p>
        </w:tc>
      </w:tr>
      <w:tr>
        <w:tc>
          <w:tcPr>
            <w:tcW w:type="dxa" w:w="1728"/>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NFR-02</w:t>
            </w:r>
          </w:p>
        </w:tc>
        <w:tc>
          <w:tcPr>
            <w:tcW w:type="dxa" w:w="8064"/>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バックアップの方式・取得間隔・保存期間、復旧方法、冗長化の要否</w:t>
            </w:r>
          </w:p>
        </w:tc>
      </w:tr>
      <w:tr>
        <w:tc>
          <w:tcPr>
            <w:tcW w:type="dxa" w:w="1728"/>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NFR-03</w:t>
            </w:r>
          </w:p>
        </w:tc>
        <w:tc>
          <w:tcPr>
            <w:tcW w:type="dxa" w:w="8064"/>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想定同時利用者数、応答時間の目標値</w:t>
            </w:r>
          </w:p>
        </w:tc>
      </w:tr>
      <w:tr>
        <w:tc>
          <w:tcPr>
            <w:tcW w:type="dxa" w:w="1728"/>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NFR-04</w:t>
            </w:r>
          </w:p>
        </w:tc>
        <w:tc>
          <w:tcPr>
            <w:tcW w:type="dxa" w:w="8064"/>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在庫・履歴・監査ログ・通知履歴の保管期間</w:t>
            </w:r>
          </w:p>
        </w:tc>
      </w:tr>
      <w:tr>
        <w:tc>
          <w:tcPr>
            <w:tcW w:type="dxa" w:w="1728"/>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NFR-18</w:t>
            </w:r>
          </w:p>
        </w:tc>
        <w:tc>
          <w:tcPr>
            <w:tcW w:type="dxa" w:w="8064"/>
            <w:tcBorders>
              <w:top w:val="single" w:sz="4" w:color="D9D9D9"/>
              <w:left w:val="single" w:sz="4" w:color="D9D9D9"/>
              <w:bottom w:val="single" w:sz="4" w:color="D9D9D9"/>
              <w:right w:val="single" w:sz="4" w:color="D9D9D9"/>
            </w:tcBorders>
            <w:vAlign w:val="center"/>
          </w:tcPr>
          <w:p>
            <w:pPr>
              <w:spacing w:after="20" w:before="20" w:line="264" w:lineRule="auto"/>
            </w:pPr>
            <w:r>
              <w:rPr>
                <w:sz w:val="17"/>
              </w:rPr>
              <w:t>本番への初期データ登録・照合手順の詳細</w:t>
            </w:r>
          </w:p>
        </w:tc>
      </w:tr>
      <w:tr>
        <w:tc>
          <w:tcPr>
            <w:tcW w:type="dxa" w:w="1728"/>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初回後</w:t>
            </w:r>
          </w:p>
        </w:tc>
        <w:tc>
          <w:tcPr>
            <w:tcW w:type="dxa" w:w="8064"/>
            <w:tcBorders>
              <w:top w:val="single" w:sz="4" w:color="D9D9D9"/>
              <w:left w:val="single" w:sz="4" w:color="D9D9D9"/>
              <w:bottom w:val="single" w:sz="4" w:color="D9D9D9"/>
              <w:right w:val="single" w:sz="4" w:color="D9D9D9"/>
            </w:tcBorders>
            <w:vAlign w:val="center"/>
            <w:shd w:fill="F7F9FA"/>
          </w:tcPr>
          <w:p>
            <w:pPr>
              <w:spacing w:after="20" w:before="20" w:line="264" w:lineRule="auto"/>
            </w:pPr>
            <w:r>
              <w:rPr>
                <w:sz w:val="17"/>
              </w:rPr>
              <w:t>指定数量超過メールの導入時期、送信先、差出人の管理方法</w:t>
            </w:r>
          </w:p>
        </w:tc>
      </w:tr>
    </w:tbl>
    <w:p>
      <w:pPr>
        <w:spacing w:after="0"/>
      </w:pPr>
    </w:p>
    <w:p>
      <w:r>
        <w:t>関連文書：DXコア機能_要件定義.md／開発前の合意・準備.md／ER図.md</w:t>
      </w:r>
    </w:p>
    <w:sectPr w:rsidR="00FC693F" w:rsidRPr="0006063C" w:rsidSect="00034616">
      <w:pgSz w:w="11906" w:h="16838"/>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8" w:lineRule="auto"/>
    </w:pPr>
    <w:rPr>
      <w:rFonts w:ascii="Arial Unicode MS" w:hAnsi="Arial Unicode MS" w:eastAsia="Arial Unicode MS"/>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line="278" w:lineRule="auto"/>
      <w:outlineLvl w:val="0"/>
    </w:pPr>
    <w:rPr>
      <w:rFonts w:asciiTheme="majorHAnsi" w:eastAsiaTheme="majorEastAsia" w:hAnsiTheme="majorHAnsi" w:cstheme="majorBidi" w:ascii="Arial Unicode MS" w:hAnsi="Arial Unicode MS" w:eastAsia="Arial Unicode M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60" w:line="278" w:lineRule="auto"/>
      <w:outlineLvl w:val="1"/>
    </w:pPr>
    <w:rPr>
      <w:rFonts w:asciiTheme="majorHAnsi" w:eastAsiaTheme="majorEastAsia" w:hAnsiTheme="majorHAnsi" w:cstheme="majorBidi" w:ascii="Arial Unicode MS" w:hAnsi="Arial Unicode MS" w:eastAsia="Arial Unicode M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8" w:lineRule="auto" w:before="0"/>
      <w:contextualSpacing/>
    </w:pPr>
    <w:rPr>
      <w:rFonts w:asciiTheme="majorHAnsi" w:eastAsiaTheme="majorEastAsia" w:hAnsiTheme="majorHAnsi" w:cstheme="majorBidi" w:ascii="Arial Unicode MS" w:hAnsi="Arial Unicode MS" w:eastAsia="Arial Unicode M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