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rPr>
        <w:t xml:space="preserve">République du Bénin</w:t>
      </w:r>
    </w:p>
    <w:p>
      <w:pPr>
        <w:spacing w:after="300"/>
        <w:jc w:val="center"/>
      </w:pPr>
      <w:r>
        <w:rPr>
          <w:b/>
          <w:bCs/>
        </w:rPr>
        <w:t xml:space="preserve">Ministère de l'Enseignement supérieur et de la Recherche scientifique (MESRS)</w:t>
      </w:r>
    </w:p>
    <w:p>
      <w:pPr>
        <w:spacing w:after="300"/>
        <w:jc w:val="center"/>
      </w:pPr>
      <w:r>
        <w:rPr>
          <w:b/>
          <w:bCs/>
        </w:rPr>
        <w:t xml:space="preserve">Institut Cerco Bénin</w:t>
      </w:r>
    </w:p>
    <w:p>
      <w:pPr>
        <w:spacing w:after="100"/>
        <w:jc w:val="center"/>
      </w:pPr>
      <w:r>
        <w:rPr>
          <w:b/>
          <w:bCs/>
          <w:sz w:val="28"/>
          <w:szCs w:val="28"/>
        </w:rPr>
        <w:t xml:space="preserve">Mémoire de licence Professionnelle</w:t>
      </w:r>
    </w:p>
    <w:p>
      <w:pPr>
        <w:spacing w:after="300"/>
        <w:jc w:val="center"/>
      </w:pPr>
      <w:r>
        <w:t xml:space="preserve">Filière : Télécommunications</w:t>
      </w:r>
    </w:p>
    <w:p>
      <w:pPr>
        <w:spacing w:after="400"/>
        <w:jc w:val="center"/>
      </w:pPr>
      <w:r>
        <w:rPr>
          <w:b/>
          <w:bCs/>
        </w:rPr>
        <w:t xml:space="preserve">Thème : Conception d'un honeypot multi-services à leurres dynamiques pour l'analyse, la détection proactive et la prévention des cyberattaques dans un environnement universitaire, avec mapping MITRE ATT&amp;CK</w:t>
      </w:r>
    </w:p>
    <w:p>
      <w:pPr>
        <w:spacing w:after="100"/>
        <w:jc w:val="center"/>
      </w:pPr>
      <w:r>
        <w:rPr>
          <w:b/>
          <w:bCs/>
        </w:rPr>
        <w:t xml:space="preserve">Présenté par :</w:t>
      </w:r>
    </w:p>
    <w:p>
      <w:pPr>
        <w:spacing w:after="300"/>
        <w:jc w:val="center"/>
      </w:pPr>
      <w:r>
        <w:t xml:space="preserve">AKOUETE Yannel B. &amp; KANFON Steve M.</w:t>
      </w:r>
    </w:p>
    <w:p>
      <w:pPr>
        <w:spacing w:after="100"/>
        <w:jc w:val="center"/>
      </w:pPr>
      <w:r>
        <w:rPr>
          <w:b/>
          <w:bCs/>
        </w:rPr>
        <w:t xml:space="preserve">Sous la direction de :</w:t>
      </w:r>
    </w:p>
    <w:p>
      <w:pPr>
        <w:spacing w:after="100"/>
        <w:jc w:val="center"/>
      </w:pPr>
      <w:r>
        <w:t xml:space="preserve">Dr Gilbert CAPO CHICHI</w:t>
      </w:r>
    </w:p>
    <w:p>
      <w:pPr>
        <w:spacing w:after="400"/>
        <w:jc w:val="center"/>
      </w:pPr>
      <w:r>
        <w:rPr>
          <w:i/>
          <w:iCs/>
          <w:sz w:val="20"/>
          <w:szCs w:val="20"/>
        </w:rPr>
        <w:t xml:space="preserve">Docteur en Sciences Info Com - Ingénieur - Urbaniste/Auditeur des Systèmes d'information — Directeur des Relations Publiques à l'INSTITUT CERCO</w:t>
      </w:r>
    </w:p>
    <w:p>
      <w:pPr>
        <w:jc w:val="center"/>
      </w:pPr>
      <w:r>
        <w:rPr>
          <w:b/>
          <w:bCs/>
        </w:rPr>
        <w:t xml:space="preserve">Année Académique : 2025-2026</w:t>
      </w:r>
    </w:p>
    <w:p>
      <w:r>
        <w:br w:type="page"/>
      </w:r>
    </w:p>
    <w:p>
      <w:pPr>
        <w:pStyle w:val="Heading1"/>
        <w:spacing w:after="200" w:before="400"/>
      </w:pPr>
      <w:r>
        <w:t xml:space="preserve">Table des matières</w:t>
      </w:r>
    </w:p>
    <w:p>
      <w:pPr>
        <w:spacing w:after="200"/>
      </w:pPr>
      <w:r>
        <w:rPr>
          <w:i/>
          <w:iCs/>
          <w:color w:val="808080"/>
          <w:sz w:val="20"/>
          <w:szCs w:val="20"/>
        </w:rPr>
        <w:t xml:space="preserve">Champ automatique — clic droit puis « Mettre à jour les champs » dans Word pour générer la pagination réelle.</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Dédicaces</w:t>
      </w:r>
    </w:p>
    <w:p>
      <w:pPr>
        <w:spacing w:after="160"/>
      </w:pPr>
      <w:r>
        <w:t xml:space="preserve">Je dédie ce travail à Dieu Tout-Puissant, pour sa grâce, sa protection et la force qu'il m'a accordées tout au long de ce parcours.</w:t>
      </w:r>
    </w:p>
    <w:p>
      <w:pPr>
        <w:spacing w:after="160"/>
      </w:pPr>
      <w:r>
        <w:t xml:space="preserve">À mes très chers parents, pour leur amour inconditionnel, leurs sacrifices, leurs conseils et leur soutien moral et spirituel. Ce travail est le fruit des valeurs qu'ils m'ont transmises.</w:t>
      </w:r>
    </w:p>
    <w:p>
      <w:pPr>
        <w:spacing w:after="160"/>
      </w:pPr>
      <w:r>
        <w:t xml:space="preserve">À mes frères et sœurs, pour leurs encouragements et leur présence constante.</w:t>
      </w:r>
    </w:p>
    <w:p>
      <w:pPr>
        <w:spacing w:after="160"/>
      </w:pPr>
      <w:r>
        <w:t xml:space="preserve">À ma famille et à tous mes proches, pour leur affection, leur patience et leur confiance en moi.</w:t>
      </w:r>
    </w:p>
    <w:p>
      <w:pPr>
        <w:spacing w:after="160"/>
      </w:pPr>
      <w:r>
        <w:t xml:space="preserve">À mes amis et camarades, qui m'ont accompagné(e) par leurs conseils, leur solidarité et leurs encouragements.</w:t>
      </w:r>
    </w:p>
    <w:p>
      <w:pPr>
        <w:spacing w:after="160"/>
      </w:pPr>
      <w:r>
        <w:t xml:space="preserve">Enfin, je dédie ce travail à toutes les personnes qui, de près ou de loin, ont contribué à ma formation et à la réalisation de ce projet.</w:t>
      </w:r>
    </w:p>
    <w:p>
      <w:pPr>
        <w:pStyle w:val="Heading1"/>
        <w:spacing w:after="200" w:before="400"/>
      </w:pPr>
      <w:r>
        <w:t xml:space="preserve">Remerciements</w:t>
      </w:r>
    </w:p>
    <w:p>
      <w:pPr>
        <w:spacing w:after="200"/>
      </w:pPr>
      <w:r>
        <w:rPr>
          <w:i/>
          <w:iCs/>
          <w:color w:val="808080"/>
          <w:sz w:val="20"/>
          <w:szCs w:val="20"/>
        </w:rPr>
        <w:t xml:space="preserve">Section à rédiger — non traitée dans ce passage (hors périmètre de la correction en cours).</w:t>
      </w:r>
    </w:p>
    <w:p>
      <w:pPr>
        <w:pStyle w:val="Heading1"/>
        <w:spacing w:after="200" w:before="400"/>
      </w:pPr>
      <w:r>
        <w:t xml:space="preserve">Liste des sigles et abréviations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shd w:fill="D9E2D9" w:val="clear"/>
          </w:tcPr>
          <w:p>
            <w:r>
              <w:rPr>
                <w:b/>
                <w:bCs/>
              </w:rPr>
              <w:t xml:space="preserve">Sigle</w:t>
            </w:r>
          </w:p>
        </w:tc>
        <w:tc>
          <w:tcPr>
            <w:tcW w:type="dxa" w:w="7000"/>
            <w:shd w:fill="D9E2D9" w:val="clear"/>
          </w:tcPr>
          <w:p>
            <w:r>
              <w:rPr>
                <w:b/>
                <w:bCs/>
              </w:rPr>
              <w:t xml:space="preserve">Signification</w:t>
            </w:r>
          </w:p>
        </w:tc>
      </w:tr>
      <w:tr>
        <w:tc>
          <w:tcPr>
            <w:tcW w:type="dxa" w:w="2000"/>
          </w:tcPr>
          <w:p>
            <w:r>
              <w:rPr>
                <w:b w:val="false"/>
                <w:bCs w:val="false"/>
              </w:rPr>
              <w:t xml:space="preserve">APT</w:t>
            </w:r>
          </w:p>
        </w:tc>
        <w:tc>
          <w:tcPr>
            <w:tcW w:type="dxa" w:w="7000"/>
          </w:tcPr>
          <w:p>
            <w:r>
              <w:rPr>
                <w:b w:val="false"/>
                <w:bCs w:val="false"/>
              </w:rPr>
              <w:t xml:space="preserve">Advanced Persistent Threat — Menace persistante avancée</w:t>
            </w:r>
          </w:p>
        </w:tc>
      </w:tr>
      <w:tr>
        <w:tc>
          <w:tcPr>
            <w:tcW w:type="dxa" w:w="2000"/>
          </w:tcPr>
          <w:p>
            <w:r>
              <w:rPr>
                <w:b w:val="false"/>
                <w:bCs w:val="false"/>
              </w:rPr>
              <w:t xml:space="preserve">ATT&amp;CK</w:t>
            </w:r>
          </w:p>
        </w:tc>
        <w:tc>
          <w:tcPr>
            <w:tcW w:type="dxa" w:w="7000"/>
          </w:tcPr>
          <w:p>
            <w:r>
              <w:rPr>
                <w:b w:val="false"/>
                <w:bCs w:val="false"/>
              </w:rPr>
              <w:t xml:space="preserve">Adversarial Tactics, Techniques &amp; Common Knowledge</w:t>
            </w:r>
          </w:p>
        </w:tc>
      </w:tr>
      <w:tr>
        <w:tc>
          <w:tcPr>
            <w:tcW w:type="dxa" w:w="2000"/>
          </w:tcPr>
          <w:p>
            <w:r>
              <w:rPr>
                <w:b w:val="false"/>
                <w:bCs w:val="false"/>
              </w:rPr>
              <w:t xml:space="preserve">CERT</w:t>
            </w:r>
          </w:p>
        </w:tc>
        <w:tc>
          <w:tcPr>
            <w:tcW w:type="dxa" w:w="7000"/>
          </w:tcPr>
          <w:p>
            <w:r>
              <w:rPr>
                <w:b w:val="false"/>
                <w:bCs w:val="false"/>
              </w:rPr>
              <w:t xml:space="preserve">Computer Emergency Response Team</w:t>
            </w:r>
          </w:p>
        </w:tc>
      </w:tr>
      <w:tr>
        <w:tc>
          <w:tcPr>
            <w:tcW w:type="dxa" w:w="2000"/>
          </w:tcPr>
          <w:p>
            <w:r>
              <w:rPr>
                <w:b w:val="false"/>
                <w:bCs w:val="false"/>
              </w:rPr>
              <w:t xml:space="preserve">CISO</w:t>
            </w:r>
          </w:p>
        </w:tc>
        <w:tc>
          <w:tcPr>
            <w:tcW w:type="dxa" w:w="7000"/>
          </w:tcPr>
          <w:p>
            <w:r>
              <w:rPr>
                <w:b w:val="false"/>
                <w:bCs w:val="false"/>
              </w:rPr>
              <w:t xml:space="preserve">Chief Information Security Officer</w:t>
            </w:r>
          </w:p>
        </w:tc>
      </w:tr>
      <w:tr>
        <w:tc>
          <w:tcPr>
            <w:tcW w:type="dxa" w:w="2000"/>
          </w:tcPr>
          <w:p>
            <w:r>
              <w:rPr>
                <w:b w:val="false"/>
                <w:bCs w:val="false"/>
              </w:rPr>
              <w:t xml:space="preserve">CPU</w:t>
            </w:r>
          </w:p>
        </w:tc>
        <w:tc>
          <w:tcPr>
            <w:tcW w:type="dxa" w:w="7000"/>
          </w:tcPr>
          <w:p>
            <w:r>
              <w:rPr>
                <w:b w:val="false"/>
                <w:bCs w:val="false"/>
              </w:rPr>
              <w:t xml:space="preserve">Central Processing Unit</w:t>
            </w:r>
          </w:p>
        </w:tc>
      </w:tr>
      <w:tr>
        <w:tc>
          <w:tcPr>
            <w:tcW w:type="dxa" w:w="2000"/>
          </w:tcPr>
          <w:p>
            <w:r>
              <w:rPr>
                <w:b w:val="false"/>
                <w:bCs w:val="false"/>
              </w:rPr>
              <w:t xml:space="preserve">ECS</w:t>
            </w:r>
          </w:p>
        </w:tc>
        <w:tc>
          <w:tcPr>
            <w:tcW w:type="dxa" w:w="7000"/>
          </w:tcPr>
          <w:p>
            <w:r>
              <w:rPr>
                <w:b w:val="false"/>
                <w:bCs w:val="false"/>
              </w:rPr>
              <w:t xml:space="preserve">Elastic Common Schema</w:t>
            </w:r>
          </w:p>
        </w:tc>
      </w:tr>
      <w:tr>
        <w:tc>
          <w:tcPr>
            <w:tcW w:type="dxa" w:w="2000"/>
          </w:tcPr>
          <w:p>
            <w:r>
              <w:rPr>
                <w:b w:val="false"/>
                <w:bCs w:val="false"/>
              </w:rPr>
              <w:t xml:space="preserve">ELK</w:t>
            </w:r>
          </w:p>
        </w:tc>
        <w:tc>
          <w:tcPr>
            <w:tcW w:type="dxa" w:w="7000"/>
          </w:tcPr>
          <w:p>
            <w:r>
              <w:rPr>
                <w:b w:val="false"/>
                <w:bCs w:val="false"/>
              </w:rPr>
              <w:t xml:space="preserve">Elasticsearch, Logstash, Kibana</w:t>
            </w:r>
          </w:p>
        </w:tc>
      </w:tr>
      <w:tr>
        <w:tc>
          <w:tcPr>
            <w:tcW w:type="dxa" w:w="2000"/>
          </w:tcPr>
          <w:p>
            <w:r>
              <w:rPr>
                <w:b w:val="false"/>
                <w:bCs w:val="false"/>
              </w:rPr>
              <w:t xml:space="preserve">FTP</w:t>
            </w:r>
          </w:p>
        </w:tc>
        <w:tc>
          <w:tcPr>
            <w:tcW w:type="dxa" w:w="7000"/>
          </w:tcPr>
          <w:p>
            <w:r>
              <w:rPr>
                <w:b w:val="false"/>
                <w:bCs w:val="false"/>
              </w:rPr>
              <w:t xml:space="preserve">File Transfer Protocol</w:t>
            </w:r>
          </w:p>
        </w:tc>
      </w:tr>
      <w:tr>
        <w:tc>
          <w:tcPr>
            <w:tcW w:type="dxa" w:w="2000"/>
          </w:tcPr>
          <w:p>
            <w:r>
              <w:rPr>
                <w:b w:val="false"/>
                <w:bCs w:val="false"/>
              </w:rPr>
              <w:t xml:space="preserve">HTTP / HTTPS</w:t>
            </w:r>
          </w:p>
        </w:tc>
        <w:tc>
          <w:tcPr>
            <w:tcW w:type="dxa" w:w="7000"/>
          </w:tcPr>
          <w:p>
            <w:r>
              <w:rPr>
                <w:b w:val="false"/>
                <w:bCs w:val="false"/>
              </w:rPr>
              <w:t xml:space="preserve">HyperText Transfer Protocol (Secure)</w:t>
            </w:r>
          </w:p>
        </w:tc>
      </w:tr>
      <w:tr>
        <w:tc>
          <w:tcPr>
            <w:tcW w:type="dxa" w:w="2000"/>
          </w:tcPr>
          <w:p>
            <w:r>
              <w:rPr>
                <w:b w:val="false"/>
                <w:bCs w:val="false"/>
              </w:rPr>
              <w:t xml:space="preserve">IDS</w:t>
            </w:r>
          </w:p>
        </w:tc>
        <w:tc>
          <w:tcPr>
            <w:tcW w:type="dxa" w:w="7000"/>
          </w:tcPr>
          <w:p>
            <w:r>
              <w:rPr>
                <w:b w:val="false"/>
                <w:bCs w:val="false"/>
              </w:rPr>
              <w:t xml:space="preserve">Intrusion Detection System</w:t>
            </w:r>
          </w:p>
        </w:tc>
      </w:tr>
      <w:tr>
        <w:tc>
          <w:tcPr>
            <w:tcW w:type="dxa" w:w="2000"/>
          </w:tcPr>
          <w:p>
            <w:r>
              <w:rPr>
                <w:b w:val="false"/>
                <w:bCs w:val="false"/>
              </w:rPr>
              <w:t xml:space="preserve">IP</w:t>
            </w:r>
          </w:p>
        </w:tc>
        <w:tc>
          <w:tcPr>
            <w:tcW w:type="dxa" w:w="7000"/>
          </w:tcPr>
          <w:p>
            <w:r>
              <w:rPr>
                <w:b w:val="false"/>
                <w:bCs w:val="false"/>
              </w:rPr>
              <w:t xml:space="preserve">Internet Protocol</w:t>
            </w:r>
          </w:p>
        </w:tc>
      </w:tr>
      <w:tr>
        <w:tc>
          <w:tcPr>
            <w:tcW w:type="dxa" w:w="2000"/>
          </w:tcPr>
          <w:p>
            <w:r>
              <w:rPr>
                <w:b w:val="false"/>
                <w:bCs w:val="false"/>
              </w:rPr>
              <w:t xml:space="preserve">JSON</w:t>
            </w:r>
          </w:p>
        </w:tc>
        <w:tc>
          <w:tcPr>
            <w:tcW w:type="dxa" w:w="7000"/>
          </w:tcPr>
          <w:p>
            <w:r>
              <w:rPr>
                <w:b w:val="false"/>
                <w:bCs w:val="false"/>
              </w:rPr>
              <w:t xml:space="preserve">JavaScript Object Notation</w:t>
            </w:r>
          </w:p>
        </w:tc>
      </w:tr>
      <w:tr>
        <w:tc>
          <w:tcPr>
            <w:tcW w:type="dxa" w:w="2000"/>
          </w:tcPr>
          <w:p>
            <w:r>
              <w:rPr>
                <w:b w:val="false"/>
                <w:bCs w:val="false"/>
              </w:rPr>
              <w:t xml:space="preserve">LDAP</w:t>
            </w:r>
          </w:p>
        </w:tc>
        <w:tc>
          <w:tcPr>
            <w:tcW w:type="dxa" w:w="7000"/>
          </w:tcPr>
          <w:p>
            <w:r>
              <w:rPr>
                <w:b w:val="false"/>
                <w:bCs w:val="false"/>
              </w:rPr>
              <w:t xml:space="preserve">Lightweight Directory Access Protocol</w:t>
            </w:r>
          </w:p>
        </w:tc>
      </w:tr>
      <w:tr>
        <w:tc>
          <w:tcPr>
            <w:tcW w:type="dxa" w:w="2000"/>
          </w:tcPr>
          <w:p>
            <w:r>
              <w:rPr>
                <w:b w:val="false"/>
                <w:bCs w:val="false"/>
              </w:rPr>
              <w:t xml:space="preserve">MISP</w:t>
            </w:r>
          </w:p>
        </w:tc>
        <w:tc>
          <w:tcPr>
            <w:tcW w:type="dxa" w:w="7000"/>
          </w:tcPr>
          <w:p>
            <w:r>
              <w:rPr>
                <w:b w:val="false"/>
                <w:bCs w:val="false"/>
              </w:rPr>
              <w:t xml:space="preserve">Malware Information Sharing Platform</w:t>
            </w:r>
          </w:p>
        </w:tc>
      </w:tr>
      <w:tr>
        <w:tc>
          <w:tcPr>
            <w:tcW w:type="dxa" w:w="2000"/>
          </w:tcPr>
          <w:p>
            <w:r>
              <w:rPr>
                <w:b w:val="false"/>
                <w:bCs w:val="false"/>
              </w:rPr>
              <w:t xml:space="preserve">MITRE</w:t>
            </w:r>
          </w:p>
        </w:tc>
        <w:tc>
          <w:tcPr>
            <w:tcW w:type="dxa" w:w="7000"/>
          </w:tcPr>
          <w:p>
            <w:r>
              <w:rPr>
                <w:b w:val="false"/>
                <w:bCs w:val="false"/>
              </w:rPr>
              <w:t xml:space="preserve">Massachusetts Institute of Technology Research Establishment</w:t>
            </w:r>
          </w:p>
        </w:tc>
      </w:tr>
      <w:tr>
        <w:tc>
          <w:tcPr>
            <w:tcW w:type="dxa" w:w="2000"/>
          </w:tcPr>
          <w:p>
            <w:r>
              <w:rPr>
                <w:b w:val="false"/>
                <w:bCs w:val="false"/>
              </w:rPr>
              <w:t xml:space="preserve">RAM</w:t>
            </w:r>
          </w:p>
        </w:tc>
        <w:tc>
          <w:tcPr>
            <w:tcW w:type="dxa" w:w="7000"/>
          </w:tcPr>
          <w:p>
            <w:r>
              <w:rPr>
                <w:b w:val="false"/>
                <w:bCs w:val="false"/>
              </w:rPr>
              <w:t xml:space="preserve">Random Access Memory</w:t>
            </w:r>
          </w:p>
        </w:tc>
      </w:tr>
      <w:tr>
        <w:tc>
          <w:tcPr>
            <w:tcW w:type="dxa" w:w="2000"/>
          </w:tcPr>
          <w:p>
            <w:r>
              <w:rPr>
                <w:b w:val="false"/>
                <w:bCs w:val="false"/>
              </w:rPr>
              <w:t xml:space="preserve">RDP</w:t>
            </w:r>
          </w:p>
        </w:tc>
        <w:tc>
          <w:tcPr>
            <w:tcW w:type="dxa" w:w="7000"/>
          </w:tcPr>
          <w:p>
            <w:r>
              <w:rPr>
                <w:b w:val="false"/>
                <w:bCs w:val="false"/>
              </w:rPr>
              <w:t xml:space="preserve">Remote Desktop Protocol</w:t>
            </w:r>
          </w:p>
        </w:tc>
      </w:tr>
      <w:tr>
        <w:tc>
          <w:tcPr>
            <w:tcW w:type="dxa" w:w="2000"/>
          </w:tcPr>
          <w:p>
            <w:r>
              <w:rPr>
                <w:b w:val="false"/>
                <w:bCs w:val="false"/>
              </w:rPr>
              <w:t xml:space="preserve">SIEM</w:t>
            </w:r>
          </w:p>
        </w:tc>
        <w:tc>
          <w:tcPr>
            <w:tcW w:type="dxa" w:w="7000"/>
          </w:tcPr>
          <w:p>
            <w:r>
              <w:rPr>
                <w:b w:val="false"/>
                <w:bCs w:val="false"/>
              </w:rPr>
              <w:t xml:space="preserve">Security Information and Event Management</w:t>
            </w:r>
          </w:p>
        </w:tc>
      </w:tr>
      <w:tr>
        <w:tc>
          <w:tcPr>
            <w:tcW w:type="dxa" w:w="2000"/>
          </w:tcPr>
          <w:p>
            <w:r>
              <w:rPr>
                <w:b w:val="false"/>
                <w:bCs w:val="false"/>
              </w:rPr>
              <w:t xml:space="preserve">SI</w:t>
            </w:r>
          </w:p>
        </w:tc>
        <w:tc>
          <w:tcPr>
            <w:tcW w:type="dxa" w:w="7000"/>
          </w:tcPr>
          <w:p>
            <w:r>
              <w:rPr>
                <w:b w:val="false"/>
                <w:bCs w:val="false"/>
              </w:rPr>
              <w:t xml:space="preserve">Système d'Information</w:t>
            </w:r>
          </w:p>
        </w:tc>
      </w:tr>
      <w:tr>
        <w:tc>
          <w:tcPr>
            <w:tcW w:type="dxa" w:w="2000"/>
          </w:tcPr>
          <w:p>
            <w:r>
              <w:rPr>
                <w:b w:val="false"/>
                <w:bCs w:val="false"/>
              </w:rPr>
              <w:t xml:space="preserve">SMB</w:t>
            </w:r>
          </w:p>
        </w:tc>
        <w:tc>
          <w:tcPr>
            <w:tcW w:type="dxa" w:w="7000"/>
          </w:tcPr>
          <w:p>
            <w:r>
              <w:rPr>
                <w:b w:val="false"/>
                <w:bCs w:val="false"/>
              </w:rPr>
              <w:t xml:space="preserve">Server Message Block</w:t>
            </w:r>
          </w:p>
        </w:tc>
      </w:tr>
      <w:tr>
        <w:tc>
          <w:tcPr>
            <w:tcW w:type="dxa" w:w="2000"/>
          </w:tcPr>
          <w:p>
            <w:r>
              <w:rPr>
                <w:b w:val="false"/>
                <w:bCs w:val="false"/>
              </w:rPr>
              <w:t xml:space="preserve">SMTP</w:t>
            </w:r>
          </w:p>
        </w:tc>
        <w:tc>
          <w:tcPr>
            <w:tcW w:type="dxa" w:w="7000"/>
          </w:tcPr>
          <w:p>
            <w:r>
              <w:rPr>
                <w:b w:val="false"/>
                <w:bCs w:val="false"/>
              </w:rPr>
              <w:t xml:space="preserve">Simple Mail Transfer Protocol</w:t>
            </w:r>
          </w:p>
        </w:tc>
      </w:tr>
      <w:tr>
        <w:tc>
          <w:tcPr>
            <w:tcW w:type="dxa" w:w="2000"/>
          </w:tcPr>
          <w:p>
            <w:r>
              <w:rPr>
                <w:b w:val="false"/>
                <w:bCs w:val="false"/>
              </w:rPr>
              <w:t xml:space="preserve">SSH</w:t>
            </w:r>
          </w:p>
        </w:tc>
        <w:tc>
          <w:tcPr>
            <w:tcW w:type="dxa" w:w="7000"/>
          </w:tcPr>
          <w:p>
            <w:r>
              <w:rPr>
                <w:b w:val="false"/>
                <w:bCs w:val="false"/>
              </w:rPr>
              <w:t xml:space="preserve">Secure Shell</w:t>
            </w:r>
          </w:p>
        </w:tc>
      </w:tr>
    </w:tbl>
    <w:p>
      <w:pPr>
        <w:pStyle w:val="Heading1"/>
        <w:spacing w:after="200" w:before="400"/>
      </w:pPr>
      <w:r>
        <w:t xml:space="preserve">Liste des tableaux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500"/>
      </w:tblGrid>
      <w:tr>
        <w:tc>
          <w:tcPr>
            <w:tcW w:type="dxa" w:w="1500"/>
            <w:shd w:fill="D9E2D9" w:val="clear"/>
          </w:tcPr>
          <w:p>
            <w:r>
              <w:rPr>
                <w:b/>
                <w:bCs/>
              </w:rPr>
              <w:t xml:space="preserve">Réf.</w:t>
            </w:r>
          </w:p>
        </w:tc>
        <w:tc>
          <w:tcPr>
            <w:tcW w:type="dxa" w:w="6000"/>
            <w:shd w:fill="D9E2D9" w:val="clear"/>
          </w:tcPr>
          <w:p>
            <w:r>
              <w:rPr>
                <w:b/>
                <w:bCs/>
              </w:rPr>
              <w:t xml:space="preserve">Intitulé</w:t>
            </w:r>
          </w:p>
        </w:tc>
        <w:tc>
          <w:tcPr>
            <w:tcW w:type="dxa" w:w="1500"/>
            <w:shd w:fill="D9E2D9" w:val="clear"/>
          </w:tcPr>
          <w:p>
            <w:r>
              <w:rPr>
                <w:b/>
                <w:bCs/>
              </w:rPr>
              <w:t xml:space="preserve">Chapitre</w:t>
            </w:r>
          </w:p>
        </w:tc>
      </w:tr>
      <w:tr>
        <w:tc>
          <w:tcPr>
            <w:tcW w:type="dxa" w:w="1500"/>
          </w:tcPr>
          <w:p>
            <w:r>
              <w:rPr>
                <w:b w:val="false"/>
                <w:bCs w:val="false"/>
              </w:rPr>
              <w:t xml:space="preserve">Tableau 1</w:t>
            </w:r>
          </w:p>
        </w:tc>
        <w:tc>
          <w:tcPr>
            <w:tcW w:type="dxa" w:w="6000"/>
          </w:tcPr>
          <w:p>
            <w:r>
              <w:rPr>
                <w:b w:val="false"/>
                <w:bCs w:val="false"/>
              </w:rPr>
              <w:t xml:space="preserve">Classification des services par priorité de simulation</w:t>
            </w:r>
          </w:p>
        </w:tc>
        <w:tc>
          <w:tcPr>
            <w:tcW w:type="dxa" w:w="1500"/>
          </w:tcPr>
          <w:p>
            <w:r>
              <w:rPr>
                <w:b w:val="false"/>
                <w:bCs w:val="false"/>
              </w:rPr>
              <w:t xml:space="preserve">Chap. 2</w:t>
            </w:r>
          </w:p>
        </w:tc>
      </w:tr>
      <w:tr>
        <w:tc>
          <w:tcPr>
            <w:tcW w:type="dxa" w:w="1500"/>
          </w:tcPr>
          <w:p>
            <w:r>
              <w:rPr>
                <w:b w:val="false"/>
                <w:bCs w:val="false"/>
              </w:rPr>
              <w:t xml:space="preserve">Tableau 2</w:t>
            </w:r>
          </w:p>
        </w:tc>
        <w:tc>
          <w:tcPr>
            <w:tcW w:type="dxa" w:w="6000"/>
          </w:tcPr>
          <w:p>
            <w:r>
              <w:rPr>
                <w:b w:val="false"/>
                <w:bCs w:val="false"/>
              </w:rPr>
              <w:t xml:space="preserve">Phases de réalisation du projet</w:t>
            </w:r>
          </w:p>
        </w:tc>
        <w:tc>
          <w:tcPr>
            <w:tcW w:type="dxa" w:w="1500"/>
          </w:tcPr>
          <w:p>
            <w:r>
              <w:rPr>
                <w:b w:val="false"/>
                <w:bCs w:val="false"/>
              </w:rPr>
              <w:t xml:space="preserve">Chap. 3</w:t>
            </w:r>
          </w:p>
        </w:tc>
      </w:tr>
      <w:tr>
        <w:tc>
          <w:tcPr>
            <w:tcW w:type="dxa" w:w="1500"/>
          </w:tcPr>
          <w:p>
            <w:r>
              <w:rPr>
                <w:b w:val="false"/>
                <w:bCs w:val="false"/>
              </w:rPr>
              <w:t xml:space="preserve">Tableau 3</w:t>
            </w:r>
          </w:p>
        </w:tc>
        <w:tc>
          <w:tcPr>
            <w:tcW w:type="dxa" w:w="6000"/>
          </w:tcPr>
          <w:p>
            <w:r>
              <w:rPr>
                <w:b w:val="false"/>
                <w:bCs w:val="false"/>
              </w:rPr>
              <w:t xml:space="preserve">Analyse comparative des solutions honeypot existantes</w:t>
            </w:r>
          </w:p>
        </w:tc>
        <w:tc>
          <w:tcPr>
            <w:tcW w:type="dxa" w:w="1500"/>
          </w:tcPr>
          <w:p>
            <w:r>
              <w:rPr>
                <w:b w:val="false"/>
                <w:bCs w:val="false"/>
              </w:rPr>
              <w:t xml:space="preserve">Chap. 4</w:t>
            </w:r>
          </w:p>
        </w:tc>
      </w:tr>
      <w:tr>
        <w:tc>
          <w:tcPr>
            <w:tcW w:type="dxa" w:w="1500"/>
          </w:tcPr>
          <w:p>
            <w:r>
              <w:rPr>
                <w:b w:val="false"/>
                <w:bCs w:val="false"/>
              </w:rPr>
              <w:t xml:space="preserve">Tableau 4</w:t>
            </w:r>
          </w:p>
        </w:tc>
        <w:tc>
          <w:tcPr>
            <w:tcW w:type="dxa" w:w="6000"/>
          </w:tcPr>
          <w:p>
            <w:r>
              <w:rPr>
                <w:b w:val="false"/>
                <w:bCs w:val="false"/>
              </w:rPr>
              <w:t xml:space="preserve">Architecture fonctionnelle en quatre couches</w:t>
            </w:r>
          </w:p>
        </w:tc>
        <w:tc>
          <w:tcPr>
            <w:tcW w:type="dxa" w:w="1500"/>
          </w:tcPr>
          <w:p>
            <w:r>
              <w:rPr>
                <w:b w:val="false"/>
                <w:bCs w:val="false"/>
              </w:rPr>
              <w:t xml:space="preserve">Chap. 4</w:t>
            </w:r>
          </w:p>
        </w:tc>
      </w:tr>
      <w:tr>
        <w:tc>
          <w:tcPr>
            <w:tcW w:type="dxa" w:w="1500"/>
          </w:tcPr>
          <w:p>
            <w:r>
              <w:rPr>
                <w:b w:val="false"/>
                <w:bCs w:val="false"/>
              </w:rPr>
              <w:t xml:space="preserve">Tableau 5</w:t>
            </w:r>
          </w:p>
        </w:tc>
        <w:tc>
          <w:tcPr>
            <w:tcW w:type="dxa" w:w="6000"/>
          </w:tcPr>
          <w:p>
            <w:r>
              <w:rPr>
                <w:b w:val="false"/>
                <w:bCs w:val="false"/>
              </w:rPr>
              <w:t xml:space="preserve">Priorisation des fonctionnalités selon la méthode MoSCoW</w:t>
            </w:r>
          </w:p>
        </w:tc>
        <w:tc>
          <w:tcPr>
            <w:tcW w:type="dxa" w:w="1500"/>
          </w:tcPr>
          <w:p>
            <w:r>
              <w:rPr>
                <w:b w:val="false"/>
                <w:bCs w:val="false"/>
              </w:rPr>
              <w:t xml:space="preserve">Chap. 6</w:t>
            </w:r>
          </w:p>
        </w:tc>
      </w:tr>
      <w:tr>
        <w:tc>
          <w:tcPr>
            <w:tcW w:type="dxa" w:w="1500"/>
          </w:tcPr>
          <w:p>
            <w:r>
              <w:rPr>
                <w:b w:val="false"/>
                <w:bCs w:val="false"/>
              </w:rPr>
              <w:t xml:space="preserve">Tableau 6</w:t>
            </w:r>
          </w:p>
        </w:tc>
        <w:tc>
          <w:tcPr>
            <w:tcW w:type="dxa" w:w="6000"/>
          </w:tcPr>
          <w:p>
            <w:r>
              <w:rPr>
                <w:b w:val="false"/>
                <w:bCs w:val="false"/>
              </w:rPr>
              <w:t xml:space="preserve">Composants techniques de l'architecture déployée</w:t>
            </w:r>
          </w:p>
        </w:tc>
        <w:tc>
          <w:tcPr>
            <w:tcW w:type="dxa" w:w="1500"/>
          </w:tcPr>
          <w:p>
            <w:r>
              <w:rPr>
                <w:b w:val="false"/>
                <w:bCs w:val="false"/>
              </w:rPr>
              <w:t xml:space="preserve">Chap. 7</w:t>
            </w:r>
          </w:p>
        </w:tc>
      </w:tr>
      <w:tr>
        <w:tc>
          <w:tcPr>
            <w:tcW w:type="dxa" w:w="1500"/>
          </w:tcPr>
          <w:p>
            <w:r>
              <w:rPr>
                <w:b w:val="false"/>
                <w:bCs w:val="false"/>
              </w:rPr>
              <w:t xml:space="preserve">Tableau 7</w:t>
            </w:r>
          </w:p>
        </w:tc>
        <w:tc>
          <w:tcPr>
            <w:tcW w:type="dxa" w:w="6000"/>
          </w:tcPr>
          <w:p>
            <w:r>
              <w:rPr>
                <w:b w:val="false"/>
                <w:bCs w:val="false"/>
              </w:rPr>
              <w:t xml:space="preserve">Vue d'ensemble des interactions collectées (fenêtre d'exposition)</w:t>
            </w:r>
          </w:p>
        </w:tc>
        <w:tc>
          <w:tcPr>
            <w:tcW w:type="dxa" w:w="1500"/>
          </w:tcPr>
          <w:p>
            <w:r>
              <w:rPr>
                <w:b w:val="false"/>
                <w:bCs w:val="false"/>
              </w:rPr>
              <w:t xml:space="preserve">Chap. 8</w:t>
            </w:r>
          </w:p>
        </w:tc>
      </w:tr>
      <w:tr>
        <w:tc>
          <w:tcPr>
            <w:tcW w:type="dxa" w:w="1500"/>
          </w:tcPr>
          <w:p>
            <w:r>
              <w:rPr>
                <w:b w:val="false"/>
                <w:bCs w:val="false"/>
              </w:rPr>
              <w:t xml:space="preserve">Tableau 8</w:t>
            </w:r>
          </w:p>
        </w:tc>
        <w:tc>
          <w:tcPr>
            <w:tcW w:type="dxa" w:w="6000"/>
          </w:tcPr>
          <w:p>
            <w:r>
              <w:rPr>
                <w:b w:val="false"/>
                <w:bCs w:val="false"/>
              </w:rPr>
              <w:t xml:space="preserve">Mapping des comportements observés sur MITRE ATT&amp;CK</w:t>
            </w:r>
          </w:p>
        </w:tc>
        <w:tc>
          <w:tcPr>
            <w:tcW w:type="dxa" w:w="1500"/>
          </w:tcPr>
          <w:p>
            <w:r>
              <w:rPr>
                <w:b w:val="false"/>
                <w:bCs w:val="false"/>
              </w:rPr>
              <w:t xml:space="preserve">Chap. 8</w:t>
            </w:r>
          </w:p>
        </w:tc>
      </w:tr>
      <w:tr>
        <w:tc>
          <w:tcPr>
            <w:tcW w:type="dxa" w:w="1500"/>
          </w:tcPr>
          <w:p>
            <w:r>
              <w:rPr>
                <w:b w:val="false"/>
                <w:bCs w:val="false"/>
              </w:rPr>
              <w:t xml:space="preserve">Tableau 9</w:t>
            </w:r>
          </w:p>
        </w:tc>
        <w:tc>
          <w:tcPr>
            <w:tcW w:type="dxa" w:w="6000"/>
          </w:tcPr>
          <w:p>
            <w:r>
              <w:rPr>
                <w:b w:val="false"/>
                <w:bCs w:val="false"/>
              </w:rPr>
              <w:t xml:space="preserve">Estimation des coûts de mise en place initiale</w:t>
            </w:r>
          </w:p>
        </w:tc>
        <w:tc>
          <w:tcPr>
            <w:tcW w:type="dxa" w:w="1500"/>
          </w:tcPr>
          <w:p>
            <w:r>
              <w:rPr>
                <w:b w:val="false"/>
                <w:bCs w:val="false"/>
              </w:rPr>
              <w:t xml:space="preserve">Chap. 9</w:t>
            </w:r>
          </w:p>
        </w:tc>
      </w:tr>
      <w:tr>
        <w:tc>
          <w:tcPr>
            <w:tcW w:type="dxa" w:w="1500"/>
          </w:tcPr>
          <w:p>
            <w:r>
              <w:rPr>
                <w:b w:val="false"/>
                <w:bCs w:val="false"/>
              </w:rPr>
              <w:t xml:space="preserve">Tableau 10</w:t>
            </w:r>
          </w:p>
        </w:tc>
        <w:tc>
          <w:tcPr>
            <w:tcW w:type="dxa" w:w="6000"/>
          </w:tcPr>
          <w:p>
            <w:r>
              <w:rPr>
                <w:b w:val="false"/>
                <w:bCs w:val="false"/>
              </w:rPr>
              <w:t xml:space="preserve">Estimation des coûts d'exploitation annuels</w:t>
            </w:r>
          </w:p>
        </w:tc>
        <w:tc>
          <w:tcPr>
            <w:tcW w:type="dxa" w:w="1500"/>
          </w:tcPr>
          <w:p>
            <w:r>
              <w:rPr>
                <w:b w:val="false"/>
                <w:bCs w:val="false"/>
              </w:rPr>
              <w:t xml:space="preserve">Chap. 9</w:t>
            </w:r>
          </w:p>
        </w:tc>
      </w:tr>
    </w:tbl>
    <w:p>
      <w:pPr>
        <w:pStyle w:val="Heading1"/>
        <w:spacing w:after="200" w:before="400"/>
      </w:pPr>
      <w:r>
        <w:t xml:space="preserve">Liste des figures et diagrammes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500"/>
      </w:tblGrid>
      <w:tr>
        <w:tc>
          <w:tcPr>
            <w:tcW w:type="dxa" w:w="1500"/>
            <w:shd w:fill="D9E2D9" w:val="clear"/>
          </w:tcPr>
          <w:p>
            <w:r>
              <w:rPr>
                <w:b/>
                <w:bCs/>
              </w:rPr>
              <w:t xml:space="preserve">Réf.</w:t>
            </w:r>
          </w:p>
        </w:tc>
        <w:tc>
          <w:tcPr>
            <w:tcW w:type="dxa" w:w="6000"/>
            <w:shd w:fill="D9E2D9" w:val="clear"/>
          </w:tcPr>
          <w:p>
            <w:r>
              <w:rPr>
                <w:b/>
                <w:bCs/>
              </w:rPr>
              <w:t xml:space="preserve">Intitulé</w:t>
            </w:r>
          </w:p>
        </w:tc>
        <w:tc>
          <w:tcPr>
            <w:tcW w:type="dxa" w:w="1500"/>
            <w:shd w:fill="D9E2D9" w:val="clear"/>
          </w:tcPr>
          <w:p>
            <w:r>
              <w:rPr>
                <w:b/>
                <w:bCs/>
              </w:rPr>
              <w:t xml:space="preserve">Chapitre</w:t>
            </w:r>
          </w:p>
        </w:tc>
      </w:tr>
      <w:tr>
        <w:tc>
          <w:tcPr>
            <w:tcW w:type="dxa" w:w="1500"/>
          </w:tcPr>
          <w:p>
            <w:r>
              <w:rPr>
                <w:b w:val="false"/>
                <w:bCs w:val="false"/>
              </w:rPr>
              <w:t xml:space="preserve">Figure 7.1</w:t>
            </w:r>
          </w:p>
        </w:tc>
        <w:tc>
          <w:tcPr>
            <w:tcW w:type="dxa" w:w="6000"/>
          </w:tcPr>
          <w:p>
            <w:r>
              <w:rPr>
                <w:b w:val="false"/>
                <w:bCs w:val="false"/>
              </w:rPr>
              <w:t xml:space="preserve">Architecture globale du honeypot multi-services</w:t>
            </w:r>
          </w:p>
        </w:tc>
        <w:tc>
          <w:tcPr>
            <w:tcW w:type="dxa" w:w="1500"/>
          </w:tcPr>
          <w:p>
            <w:r>
              <w:rPr>
                <w:b w:val="false"/>
                <w:bCs w:val="false"/>
              </w:rPr>
              <w:t xml:space="preserve">Chap. 7</w:t>
            </w:r>
          </w:p>
        </w:tc>
      </w:tr>
      <w:tr>
        <w:tc>
          <w:tcPr>
            <w:tcW w:type="dxa" w:w="1500"/>
          </w:tcPr>
          <w:p>
            <w:r>
              <w:rPr>
                <w:b w:val="false"/>
                <w:bCs w:val="false"/>
              </w:rPr>
              <w:t xml:space="preserve">Figure 7.2</w:t>
            </w:r>
          </w:p>
        </w:tc>
        <w:tc>
          <w:tcPr>
            <w:tcW w:type="dxa" w:w="6000"/>
          </w:tcPr>
          <w:p>
            <w:r>
              <w:rPr>
                <w:b w:val="false"/>
                <w:bCs w:val="false"/>
              </w:rPr>
              <w:t xml:space="preserve">Diagramme de cas d'utilisation du système honeypot</w:t>
            </w:r>
          </w:p>
        </w:tc>
        <w:tc>
          <w:tcPr>
            <w:tcW w:type="dxa" w:w="1500"/>
          </w:tcPr>
          <w:p>
            <w:r>
              <w:rPr>
                <w:b w:val="false"/>
                <w:bCs w:val="false"/>
              </w:rPr>
              <w:t xml:space="preserve">Chap. 7</w:t>
            </w:r>
          </w:p>
        </w:tc>
      </w:tr>
      <w:tr>
        <w:tc>
          <w:tcPr>
            <w:tcW w:type="dxa" w:w="1500"/>
          </w:tcPr>
          <w:p>
            <w:r>
              <w:rPr>
                <w:b w:val="false"/>
                <w:bCs w:val="false"/>
              </w:rPr>
              <w:t xml:space="preserve">Figure 7.3</w:t>
            </w:r>
          </w:p>
        </w:tc>
        <w:tc>
          <w:tcPr>
            <w:tcW w:type="dxa" w:w="6000"/>
          </w:tcPr>
          <w:p>
            <w:r>
              <w:rPr>
                <w:b w:val="false"/>
                <w:bCs w:val="false"/>
              </w:rPr>
              <w:t xml:space="preserve">Diagramme de classes du système honeypot</w:t>
            </w:r>
          </w:p>
        </w:tc>
        <w:tc>
          <w:tcPr>
            <w:tcW w:type="dxa" w:w="1500"/>
          </w:tcPr>
          <w:p>
            <w:r>
              <w:rPr>
                <w:b w:val="false"/>
                <w:bCs w:val="false"/>
              </w:rPr>
              <w:t xml:space="preserve">Chap. 7</w:t>
            </w:r>
          </w:p>
        </w:tc>
      </w:tr>
      <w:tr>
        <w:tc>
          <w:tcPr>
            <w:tcW w:type="dxa" w:w="1500"/>
          </w:tcPr>
          <w:p>
            <w:r>
              <w:rPr>
                <w:b w:val="false"/>
                <w:bCs w:val="false"/>
              </w:rPr>
              <w:t xml:space="preserve">Figure 7.4</w:t>
            </w:r>
          </w:p>
        </w:tc>
        <w:tc>
          <w:tcPr>
            <w:tcW w:type="dxa" w:w="6000"/>
          </w:tcPr>
          <w:p>
            <w:r>
              <w:rPr>
                <w:b w:val="false"/>
                <w:bCs w:val="false"/>
              </w:rPr>
              <w:t xml:space="preserve">Diagramme de séquence — interaction attaquant / honeypot</w:t>
            </w:r>
          </w:p>
        </w:tc>
        <w:tc>
          <w:tcPr>
            <w:tcW w:type="dxa" w:w="1500"/>
          </w:tcPr>
          <w:p>
            <w:r>
              <w:rPr>
                <w:b w:val="false"/>
                <w:bCs w:val="false"/>
              </w:rPr>
              <w:t xml:space="preserve">Chap. 7</w:t>
            </w:r>
          </w:p>
        </w:tc>
      </w:tr>
    </w:tbl>
    <w:p>
      <w:pPr>
        <w:pStyle w:val="Heading1"/>
        <w:spacing w:after="200" w:before="400"/>
      </w:pPr>
      <w:r>
        <w:t xml:space="preserve">Autobiographies</w:t>
      </w:r>
    </w:p>
    <w:p>
      <w:pPr>
        <w:spacing w:after="200"/>
      </w:pPr>
      <w:r>
        <w:rPr>
          <w:i/>
          <w:iCs/>
          <w:color w:val="808080"/>
          <w:sz w:val="20"/>
          <w:szCs w:val="20"/>
        </w:rPr>
        <w:t xml:space="preserve">Autobiographie I et II — sections à rédiger, non traitées dans ce passage.</w:t>
      </w:r>
    </w:p>
    <w:p>
      <w:pPr>
        <w:pStyle w:val="Heading1"/>
        <w:spacing w:after="200" w:before="400"/>
      </w:pPr>
      <w:r>
        <w:t xml:space="preserve">Résumé</w:t>
      </w:r>
    </w:p>
    <w:p>
      <w:pPr>
        <w:spacing w:after="160"/>
      </w:pPr>
      <w:r>
        <w:t xml:space="preserve">Les systèmes d'information universitaires sont de plus en plus exposés à des cybermenaces sophistiquées, tandis que les mécanismes de détection proactive adaptés au contexte académique d'Afrique subsaharienne restent largement peu documentés. Ce mémoire présente la conception, le déploiement et l'évaluation expérimentale d'un honeypot multi-services à leurres dynamiques, conçu pour simuler l'infrastructure numérique d'une université ouest-africaine.</w:t>
      </w:r>
    </w:p>
    <w:p>
      <w:pPr>
        <w:spacing w:after="160"/>
      </w:pPr>
      <w:r>
        <w:t xml:space="preserve">La solution proposée intègre plusieurs services simulés déployés dans un environnement isolé, enrichis par deux mécanismes de leurres complémentaires : un dynamisme calendaire reproduisant le cycle de vie naturel d'un SI universitaire, et un dynamisme réactif générant des appâts contextuels en réponse aux actions de l'attaquant. Les événements collectés sont centralisés et mappés systématiquement vers le référentiel MITRE ATT&amp;CK.</w:t>
      </w:r>
    </w:p>
    <w:p>
      <w:pPr>
        <w:spacing w:after="160"/>
      </w:pPr>
      <w:r>
        <w:rPr>
          <w:b/>
          <w:bCs/>
          <w:i/>
          <w:iCs/>
          <w:color w:val="006400"/>
        </w:rPr>
        <w:t xml:space="preserve">Au-delà de la détection, l'analyse structurée des comportements observés vise à produire des recommandations de sécurité contribuant à la prévention des cyberattaques dans ce type d'environnement — sans prétendre à une prévention active exercée par le dispositif lui-même.</w:t>
      </w:r>
    </w:p>
    <w:p>
      <w:pPr>
        <w:spacing w:after="200"/>
      </w:pPr>
      <w:r>
        <w:rPr>
          <w:i/>
          <w:iCs/>
          <w:color w:val="808080"/>
          <w:sz w:val="20"/>
          <w:szCs w:val="20"/>
        </w:rPr>
        <w:t xml:space="preserve">NB rédactionnel : les chiffres expérimentaux (durée d'exposition, nombre d'événements, validation des hypothèses) présents dans une version antérieure de ce résumé ne sont pas repris ici tant qu'ils ne sont pas confirmés par une exécution réelle et documentée (cf. Chapitre 8).</w:t>
      </w:r>
    </w:p>
    <w:p>
      <w:pPr>
        <w:spacing w:after="160"/>
      </w:pPr>
      <w:r>
        <w:rPr>
          <w:b/>
          <w:bCs/>
        </w:rPr>
        <w:t xml:space="preserve">Mots-clés : honeypot, leurres dynamiques, simulation multi-services, MITRE ATT&amp;CK, système d'information universitaire, détection proactive, prévention, Afrique de l'Ouest.</w:t>
      </w:r>
    </w:p>
    <w:p>
      <w:pPr>
        <w:pStyle w:val="Heading1"/>
        <w:spacing w:after="200" w:before="400"/>
      </w:pPr>
      <w:r>
        <w:t xml:space="preserve">Abstract</w:t>
      </w:r>
    </w:p>
    <w:p>
      <w:pPr>
        <w:spacing w:after="160"/>
      </w:pPr>
      <w:r>
        <w:t xml:space="preserve">University information systems are increasingly exposed to sophisticated cyber threats, yet proactive detection mechanisms specifically adapted to the academic context of Sub-Saharan Africa remain largely understudied. This dissertation presents the design, deployment, and experimental evaluation of a multi-service honeypot with dynamic decoys, tailored to simulate the digital infrastructure of a West African university.</w:t>
      </w:r>
    </w:p>
    <w:p>
      <w:pPr>
        <w:spacing w:after="160"/>
      </w:pPr>
      <w:r>
        <w:rPr>
          <w:b/>
          <w:bCs/>
          <w:i/>
          <w:iCs/>
          <w:color w:val="006400"/>
        </w:rPr>
        <w:t xml:space="preserve">Beyond detection, the structured analysis of observed behaviour aims to produce security recommendations contributing to the prevention of cyberattacks in this type of environment — without claiming that the system itself performs active prevention.</w:t>
      </w:r>
    </w:p>
    <w:p>
      <w:pPr>
        <w:spacing w:after="160"/>
      </w:pPr>
      <w:r>
        <w:rPr>
          <w:b/>
          <w:bCs/>
        </w:rPr>
        <w:t xml:space="preserve">Keywords: honeypot, dynamic decoys, multi-service simulation, MITRE ATT&amp;CK, university information system, proactive detection, prevention, West Africa.</w:t>
      </w:r>
    </w:p>
    <w:p>
      <w:pPr>
        <w:pStyle w:val="Heading1"/>
        <w:spacing w:after="200" w:before="400"/>
      </w:pPr>
      <w:r>
        <w:t xml:space="preserve">Introduction générale</w:t>
      </w:r>
    </w:p>
    <w:p>
      <w:pPr>
        <w:spacing w:after="160"/>
      </w:pPr>
      <w:r>
        <w:t xml:space="preserve">La transformation numérique des établissements d'enseignement supérieur a profondément accru leur dépendance aux systèmes d'information pour assurer des fonctions essentielles telles que la gestion administrative et financière, la scolarité, l'enseignement en ligne, la recherche scientifique, la communication et la conservation des données institutionnelles. Cette interconnexion croissante s'accompagne toutefois d'une augmentation de la surface d'exposition aux cybermenaces.</w:t>
      </w:r>
    </w:p>
    <w:p>
      <w:pPr>
        <w:spacing w:after="160"/>
      </w:pPr>
      <w:r>
        <w:t xml:space="preserve">Une étude consacrée aux cybermenaces visant les établissements universitaires et scolaires souligne notamment la valeur des données détenues par ces institutions ainsi que leur exposition à différentes formes d'attaques, parmi lesquelles les rançongiciels et les compromissions liées aux utilisateurs internes (Lallie et al., 2023).</w:t>
      </w:r>
    </w:p>
    <w:p>
      <w:pPr>
        <w:spacing w:after="160"/>
      </w:pPr>
      <w:r>
        <w:t xml:space="preserve">Dans ce contexte, la protection des systèmes d'information universitaires ne peut se limiter à la mise en œuvre de mécanismes de sécurité conventionnels. Le facteur humain constitue également une dimension importante de cette problématique, les comportements des utilisateurs pouvant influencer significativement le niveau de sécurité d'une organisation (Bada, Sasse &amp; Nurse, 2019).</w:t>
      </w:r>
    </w:p>
    <w:p>
      <w:pPr>
        <w:spacing w:after="160"/>
      </w:pPr>
      <w:r>
        <w:t xml:space="preserve">Cette nécessité d'aller au-delà d'une approche exclusivement défensive justifie le recours à des mécanismes de détection proactive capables d'observer les comportements adverses dans des environnements contrôlés. Parmi ces mécanismes, les honeypots occupent une place particulière : un système ou un ensemble de ressources volontairement exposé et instrumenté afin d'attirer, de détecter et d'étudier des activités malveillantes.</w:t>
      </w:r>
    </w:p>
    <w:p>
      <w:pPr>
        <w:spacing w:after="160"/>
      </w:pPr>
      <w:r>
        <w:t xml:space="preserve">Dans le cadre d'un système d'information universitaire, un honeypot multi-services présente un intérêt particulier puisqu'il permet de reproduire plusieurs points d'interaction susceptibles d'être rencontrés par un attaquant. L'introduction de leurres dynamiques, capables de modifier certains éléments du système simulé en fonction du contexte ou des interactions observées, constitue une piste permettant d'enrichir les scénarios d'observation.</w:t>
      </w:r>
    </w:p>
    <w:p>
      <w:pPr>
        <w:spacing w:after="160"/>
      </w:pPr>
      <w:r>
        <w:t xml:space="preserve">Le framework MITRE ATT&amp;CK répond à la nécessité de structurer et d'interpréter les comportements observés, en proposant une base de connaissances décrivant les tactiques et techniques employées par les adversaires au cours d'une opération informatique.</w:t>
      </w:r>
    </w:p>
    <w:p>
      <w:pPr>
        <w:spacing w:after="160"/>
      </w:pPr>
      <w:r>
        <w:t xml:space="preserve">C'est dans cette perspective que s'inscrit le présent mémoire, intitulé « Conception d'un honeypot multi-services à leurres dynamiques pour l'analyse, la détection proactive, la prévention des cyberattaques dans un environnement universitaire, avec mapping MITRE ATT&amp;CK ».</w:t>
      </w:r>
    </w:p>
    <w:p>
      <w:r>
        <w:br w:type="page"/>
      </w:r>
    </w:p>
    <w:p>
      <w:pPr>
        <w:pStyle w:val="Heading1"/>
        <w:spacing w:after="200" w:before="400"/>
      </w:pPr>
      <w:r>
        <w:t xml:space="preserve">PARTIE I : Cadre professionnel du stage</w:t>
      </w:r>
    </w:p>
    <w:p>
      <w:pPr>
        <w:spacing w:after="200"/>
      </w:pPr>
      <w:r>
        <w:rPr>
          <w:i/>
          <w:iCs/>
          <w:color w:val="808080"/>
          <w:sz w:val="20"/>
          <w:szCs w:val="20"/>
        </w:rPr>
        <w:t xml:space="preserve">Partie entièrement vide dans le document source — non traitée dans ce passage (hors périmètre : correction problématique/objectifs uniquement).</w:t>
      </w:r>
    </w:p>
    <w:p>
      <w:pPr>
        <w:pStyle w:val="Heading2"/>
        <w:spacing w:after="160" w:before="300"/>
      </w:pPr>
      <w:r>
        <w:t xml:space="preserve">Présentation du stage et de la structure</w:t>
      </w:r>
    </w:p>
    <w:p>
      <w:pPr>
        <w:pStyle w:val="Heading2"/>
        <w:spacing w:after="160" w:before="300"/>
      </w:pPr>
      <w:r>
        <w:t xml:space="preserve">Fonctionnement de la structure</w:t>
      </w:r>
    </w:p>
    <w:p>
      <w:pPr>
        <w:pStyle w:val="Heading2"/>
        <w:spacing w:after="160" w:before="300"/>
      </w:pPr>
      <w:r>
        <w:t xml:space="preserve">Travaux réalisés</w:t>
      </w:r>
    </w:p>
    <w:p>
      <w:pPr>
        <w:pStyle w:val="Heading2"/>
        <w:spacing w:after="160" w:before="300"/>
      </w:pPr>
      <w:r>
        <w:t xml:space="preserve">Apports professionnels</w:t>
      </w:r>
    </w:p>
    <w:p>
      <w:pPr>
        <w:pStyle w:val="Heading2"/>
        <w:spacing w:after="160" w:before="300"/>
      </w:pPr>
      <w:r>
        <w:t xml:space="preserve">Difficultés et recommandations</w:t>
      </w:r>
    </w:p>
    <w:p>
      <w:r>
        <w:br w:type="page"/>
      </w:r>
    </w:p>
    <w:p>
      <w:pPr>
        <w:pStyle w:val="Heading1"/>
        <w:spacing w:after="200" w:before="400"/>
      </w:pPr>
      <w:r>
        <w:t xml:space="preserve">PARTIE II : Projet professionnel</w:t>
      </w:r>
    </w:p>
    <w:p>
      <w:pPr>
        <w:pStyle w:val="Heading1"/>
        <w:spacing w:after="200" w:before="400"/>
      </w:pPr>
      <w:r>
        <w:t xml:space="preserve">Chapitre 1 – Contexte et identification du problème</w:t>
      </w:r>
    </w:p>
    <w:p>
      <w:pPr>
        <w:pStyle w:val="Heading2"/>
        <w:spacing w:after="160" w:before="300"/>
      </w:pPr>
      <w:r>
        <w:t xml:space="preserve">1.1 Contexte général</w:t>
      </w:r>
    </w:p>
    <w:p>
      <w:pPr>
        <w:spacing w:after="160"/>
      </w:pPr>
      <w:r>
        <w:t xml:space="preserve">Les établissements universitaires, en raison de leur rôle central dans la production et la diffusion du savoir, dépendent aujourd'hui fortement de systèmes d'information interconnectés. Ces infrastructures hébergent des données d'une grande sensibilité : informations personnelles des étudiants et du personnel, travaux de recherche, données financières, systèmes d'accès aux services numériques. Cette richesse informationnelle et la diversité des services exposés font des systèmes d'information universitaires des cibles particulièrement attractives pour des acteurs malveillants (Ahmad et al., 2020).</w:t>
      </w:r>
    </w:p>
    <w:p>
      <w:pPr>
        <w:spacing w:after="160"/>
      </w:pPr>
      <w:r>
        <w:t xml:space="preserve">La particularité des environnements académiques réside dans leur ouverture structurelle : contrairement aux environnements d'entreprise hermétiquement cloisonnés, les universités doivent concilier accessibilité des ressources pédagogiques, collaboration inter-institutionnelle et sécurité informatique. Cette tension inhérente crée des surfaces d'attaque étendues et complexes à défendre avec les seuls outils de protection périmétrique traditionnels.</w:t>
      </w:r>
    </w:p>
    <w:p>
      <w:pPr>
        <w:pStyle w:val="Heading2"/>
        <w:spacing w:after="160" w:before="300"/>
      </w:pPr>
      <w:r>
        <w:t xml:space="preserve">1.2 Problématique</w:t>
      </w:r>
    </w:p>
    <w:p>
      <w:pPr>
        <w:spacing w:after="200"/>
      </w:pPr>
      <w:r>
        <w:rPr>
          <w:i/>
          <w:iCs/>
          <w:color w:val="808080"/>
          <w:sz w:val="20"/>
          <w:szCs w:val="20"/>
        </w:rPr>
        <w:t xml:space="preserve">Section corrigée le jour même — réduction de 6 à 3 questions de recherche, alignée sur le thème officiel (intégration explicite de la dimension « prévention »). Modification en vert foncé / gras / italique ci-dessous.</w:t>
      </w:r>
    </w:p>
    <w:p>
      <w:pPr>
        <w:spacing w:after="160"/>
      </w:pPr>
      <w:r>
        <w:t xml:space="preserve">Dans ce contexte, la problématique centrale de ce mémoire s'articule autour de trois questions de recherche, correspondant chacune à une hypothèse testée dans la suite du document (H1, H2, H3) :</w:t>
      </w:r>
    </w:p>
    <w:p>
      <w:pPr>
        <w:pStyle w:val="ListParagraph"/>
        <w:numPr>
          <w:ilvl w:val="0"/>
          <w:numId w:val="1"/>
        </w:numPr>
        <w:spacing w:after="100"/>
      </w:pPr>
      <w:r>
        <w:rPr>
          <w:b/>
          <w:bCs/>
          <w:i/>
          <w:iCs/>
          <w:color w:val="006400"/>
        </w:rPr>
        <w:t xml:space="preserve">Comment concevoir un honeypot multi-services intégrant des leurres dynamiques capable de simuler de façon crédible un environnement universitaire vulnérable ?</w:t>
      </w:r>
    </w:p>
    <w:p>
      <w:pPr>
        <w:pStyle w:val="ListParagraph"/>
        <w:numPr>
          <w:ilvl w:val="0"/>
          <w:numId w:val="1"/>
        </w:numPr>
        <w:spacing w:after="100"/>
      </w:pPr>
      <w:r>
        <w:rPr>
          <w:b/>
          <w:bCs/>
          <w:i/>
          <w:iCs/>
          <w:color w:val="006400"/>
        </w:rPr>
        <w:t xml:space="preserve">Comment le framework MITRE ATT&amp;CK permet-il de structurer et d'interpréter les comportements adverses observés dans un tel dispositif ?</w:t>
      </w:r>
    </w:p>
    <w:p>
      <w:pPr>
        <w:pStyle w:val="ListParagraph"/>
        <w:numPr>
          <w:ilvl w:val="0"/>
          <w:numId w:val="1"/>
        </w:numPr>
        <w:spacing w:after="100"/>
      </w:pPr>
      <w:r>
        <w:rPr>
          <w:b/>
          <w:bCs/>
          <w:i/>
          <w:iCs/>
          <w:color w:val="006400"/>
        </w:rPr>
        <w:t xml:space="preserve">Dans quelle mesure une expérimentation contrôlée de ce dispositif permet-elle d'en évaluer l'efficacité et sa contribution potentielle à la prévention des cyberattaques dans un environnement universitaire ouest-africain à ressources limitées ?</w:t>
      </w:r>
    </w:p>
    <w:p>
      <w:pPr>
        <w:spacing w:after="160"/>
      </w:pPr>
      <w:r>
        <w:t xml:space="preserve">Ces trois questions reflètent la complexité de la problématique centrale : il ne s'agit pas seulement de déployer un système de leurres, mais de concevoir un environnement crédible, interactif et mesurable, capable de générer des données exploitables pour renforcer la sécurisation proactive des systèmes d'information.</w:t>
      </w:r>
    </w:p>
    <w:p>
      <w:pPr>
        <w:pBdr>
          <w:top w:val="single" w:color="999999" w:sz="6"/>
          <w:bottom w:val="single" w:color="999999" w:sz="6"/>
          <w:left w:val="single" w:color="999999" w:sz="6"/>
          <w:right w:val="single" w:color="999999" w:sz="6"/>
        </w:pBdr>
        <w:shd w:fill="F2F2F2" w:val="clear"/>
        <w:spacing w:after="200" w:before="120"/>
      </w:pPr>
      <w:r>
        <w:rPr>
          <w:i/>
          <w:iCs/>
        </w:rPr>
        <w:t xml:space="preserve">La présente recherche se situe à l'intersection de trois enjeux complémentaires : comprendre les mécanismes d'attaque en conditions contrôlées, concevoir des leurres dynamiques efficaces, et formaliser l'analyse des incidents à travers un cadre de référence reconnu — MITRE ATT&amp;CK.</w:t>
      </w:r>
    </w:p>
    <w:p>
      <w:pPr>
        <w:pStyle w:val="Heading1"/>
        <w:spacing w:after="200" w:before="400"/>
      </w:pPr>
      <w:r>
        <w:t xml:space="preserve">Chapitre 2 – Objectifs et résultats attendus</w:t>
      </w:r>
    </w:p>
    <w:p>
      <w:pPr>
        <w:pStyle w:val="Heading2"/>
        <w:spacing w:after="160" w:before="300"/>
      </w:pPr>
      <w:r>
        <w:t xml:space="preserve">2.1 Objectif général</w:t>
      </w:r>
    </w:p>
    <w:p>
      <w:pPr>
        <w:spacing w:after="160"/>
      </w:pPr>
      <w:r>
        <w:t xml:space="preserve">L'objectif principal de ce mémoire est de concevoir, déployer et expérimenter un honeypot multi-services à leurres dynamiques dans un système d'information universitaire, afin de renforcer la détection proactive des cybermenaces et de contribuer à leur prévention, en exploitant le référentiel MITRE ATT&amp;CK.</w:t>
      </w:r>
    </w:p>
    <w:p>
      <w:pPr>
        <w:pStyle w:val="Heading2"/>
        <w:spacing w:after="160" w:before="300"/>
      </w:pPr>
      <w:r>
        <w:t xml:space="preserve">2.2 Objectifs spécifiques</w:t>
      </w:r>
    </w:p>
    <w:p>
      <w:pPr>
        <w:spacing w:after="200"/>
      </w:pPr>
      <w:r>
        <w:rPr>
          <w:i/>
          <w:iCs/>
          <w:color w:val="808080"/>
          <w:sz w:val="20"/>
          <w:szCs w:val="20"/>
        </w:rPr>
        <w:t xml:space="preserve">Section corrigée le jour même — réduction de 6 à 3 objectifs, alignés un-à-un sur les 3 questions de recherche (1.2) et les hypothèses H1/H2/H3. Objectif 3 modifié pour intégrer explicitement la contribution à la prévention, formulée prudemment (le système observe et détecte ; il ne prévient pas activement — cf. limites, Chapitre 10).</w:t>
      </w:r>
    </w:p>
    <w:p>
      <w:pPr>
        <w:spacing w:after="160"/>
      </w:pPr>
      <w:r>
        <w:t xml:space="preserve">Pour traduire l'objectif général en axes de recherche concrets, trois objectifs spécifiques sont identifiés :</w:t>
      </w:r>
    </w:p>
    <w:p>
      <w:pPr>
        <w:pStyle w:val="ListParagraph"/>
        <w:numPr>
          <w:ilvl w:val="0"/>
          <w:numId w:val="1"/>
        </w:numPr>
        <w:spacing w:after="100"/>
      </w:pPr>
      <w:r>
        <w:rPr>
          <w:b/>
          <w:bCs/>
          <w:i/>
          <w:iCs/>
          <w:color w:val="006400"/>
        </w:rPr>
        <w:t xml:space="preserve">Concevoir et déployer un honeypot multi-services intégrant des leurres dynamiques (calendaires et réactifs), adapté à la simulation d'un environnement universitaire.</w:t>
      </w:r>
    </w:p>
    <w:p>
      <w:pPr>
        <w:pStyle w:val="ListParagraph"/>
        <w:numPr>
          <w:ilvl w:val="0"/>
          <w:numId w:val="1"/>
        </w:numPr>
        <w:spacing w:after="100"/>
      </w:pPr>
      <w:r>
        <w:rPr>
          <w:b/>
          <w:bCs/>
          <w:i/>
          <w:iCs/>
          <w:color w:val="006400"/>
        </w:rPr>
        <w:t xml:space="preserve">Structurer et analyser les comportements adverses observés selon le référentiel MITRE ATT&amp;CK.</w:t>
      </w:r>
    </w:p>
    <w:p>
      <w:pPr>
        <w:pStyle w:val="ListParagraph"/>
        <w:numPr>
          <w:ilvl w:val="0"/>
          <w:numId w:val="1"/>
        </w:numPr>
        <w:spacing w:after="100"/>
      </w:pPr>
      <w:r>
        <w:rPr>
          <w:b/>
          <w:bCs/>
          <w:i/>
          <w:iCs/>
          <w:color w:val="006400"/>
        </w:rPr>
        <w:t xml:space="preserve">Expérimenter le dispositif en conditions contrôlées, évaluer sa capacité à détecter et caractériser les attaques, et analyser dans quelle mesure les résultats obtenus peuvent contribuer à la prévention des cyberattaques, via les recommandations issues de l'analyse.</w:t>
      </w:r>
    </w:p>
    <w:p>
      <w:pPr>
        <w:pStyle w:val="Heading2"/>
        <w:spacing w:after="160" w:before="300"/>
      </w:pPr>
      <w:r>
        <w:t xml:space="preserve">2.3 Critères d'évaluation de l'efficacité</w:t>
      </w:r>
    </w:p>
    <w:p>
      <w:pPr>
        <w:spacing w:after="200"/>
      </w:pPr>
      <w:r>
        <w:rPr>
          <w:i/>
          <w:iCs/>
          <w:color w:val="808080"/>
          <w:sz w:val="20"/>
          <w:szCs w:val="20"/>
        </w:rPr>
        <w:t xml:space="preserve">Section corrigée le jour même — ajout d'un 6e critère mesurant la contribution à la prévention, pour rester cohérent avec l'objectif 3 révisé (2.2). Formulation centrée sur l'actionabilité des recommandations produites, pas sur une réduction d'attaques mesurée en conditions réelles — cette dernière n'a pas été testée.</w:t>
      </w:r>
    </w:p>
    <w:p>
      <w:pPr>
        <w:pStyle w:val="ListParagraph"/>
        <w:numPr>
          <w:ilvl w:val="0"/>
          <w:numId w:val="1"/>
        </w:numPr>
        <w:spacing w:after="100"/>
      </w:pPr>
      <w:r>
        <w:t xml:space="preserve">Taux de détection des attaques : proportion d'attaques identifiées par rapport aux incidents observés dans la fenêtre d'exposition.</w:t>
      </w:r>
    </w:p>
    <w:p>
      <w:pPr>
        <w:pStyle w:val="ListParagraph"/>
        <w:numPr>
          <w:ilvl w:val="0"/>
          <w:numId w:val="1"/>
        </w:numPr>
        <w:spacing w:after="100"/>
      </w:pPr>
      <w:r>
        <w:t xml:space="preserve">Crédibilité et interaction des leurres : capacité des leurres dynamiques à maintenir l'engagement des attaquants au-delà des premières interactions automatisées.</w:t>
      </w:r>
    </w:p>
    <w:p>
      <w:pPr>
        <w:pStyle w:val="ListParagraph"/>
        <w:numPr>
          <w:ilvl w:val="0"/>
          <w:numId w:val="1"/>
        </w:numPr>
        <w:spacing w:after="100"/>
      </w:pPr>
      <w:r>
        <w:t xml:space="preserve">Qualité et pertinence des données collectées : richesse des informations produites pour permettre une analyse exploitable via MITRE ATT&amp;CK.</w:t>
      </w:r>
    </w:p>
    <w:p>
      <w:pPr>
        <w:pStyle w:val="ListParagraph"/>
        <w:numPr>
          <w:ilvl w:val="0"/>
          <w:numId w:val="1"/>
        </w:numPr>
        <w:spacing w:after="100"/>
      </w:pPr>
      <w:r>
        <w:t xml:space="preserve">Capacité à simuler des environnements variés : flexibilité du honeypot à représenter différents services critiques de manière cohérente.</w:t>
      </w:r>
    </w:p>
    <w:p>
      <w:pPr>
        <w:pStyle w:val="ListParagraph"/>
        <w:numPr>
          <w:ilvl w:val="0"/>
          <w:numId w:val="1"/>
        </w:numPr>
        <w:spacing w:after="100"/>
      </w:pPr>
      <w:r>
        <w:t xml:space="preserve">Applicabilité et transférabilité : possibilité de répliquer le système dans d'autres environnements universitaires ou institutionnels.</w:t>
      </w:r>
    </w:p>
    <w:p>
      <w:pPr>
        <w:pStyle w:val="ListParagraph"/>
        <w:numPr>
          <w:ilvl w:val="0"/>
          <w:numId w:val="1"/>
        </w:numPr>
        <w:spacing w:after="100"/>
      </w:pPr>
      <w:r>
        <w:rPr>
          <w:b/>
          <w:bCs/>
          <w:i/>
          <w:iCs/>
          <w:color w:val="006400"/>
        </w:rPr>
        <w:t xml:space="preserve">Valeur préventive des recommandations produites : pertinence et actionabilité des recommandations de sécurité déduites du mapping MITRE ATT&amp;CK, évaluées sur leur capacité à orienter concrètement le renforcement de la posture de sécurité du SI réel — sans présumer d'une réduction effective des attaques, non mesurée dans ce mémoire.</w:t>
      </w:r>
    </w:p>
    <w:p>
      <w:pPr>
        <w:pStyle w:val="Heading2"/>
        <w:spacing w:after="160" w:before="300"/>
      </w:pPr>
      <w:r>
        <w:t xml:space="preserve">2.4 Résultats attendus</w:t>
      </w:r>
    </w:p>
    <w:p>
      <w:pPr>
        <w:spacing w:after="200"/>
      </w:pPr>
      <w:r>
        <w:rPr>
          <w:i/>
          <w:iCs/>
          <w:color w:val="808080"/>
          <w:sz w:val="20"/>
          <w:szCs w:val="20"/>
        </w:rPr>
        <w:t xml:space="preserve">Section corrigée le jour même — ajout d'un livrable dédié à la prévention, distinct du livrable méthodologique existant (qui porte sur la réplicabilité du système, pas sur la réduction de la surface d'attaque).</w:t>
      </w:r>
    </w:p>
    <w:p>
      <w:pPr>
        <w:pStyle w:val="ListParagraph"/>
        <w:numPr>
          <w:ilvl w:val="0"/>
          <w:numId w:val="1"/>
        </w:numPr>
        <w:spacing w:after="100"/>
      </w:pPr>
      <w:r>
        <w:t xml:space="preserve">Un prototype opérationnel de honeypot multi-services, intégrant des leurres dynamiques crédibles et interactifs.</w:t>
      </w:r>
    </w:p>
    <w:p>
      <w:pPr>
        <w:pStyle w:val="ListParagraph"/>
        <w:numPr>
          <w:ilvl w:val="0"/>
          <w:numId w:val="1"/>
        </w:numPr>
        <w:spacing w:after="100"/>
      </w:pPr>
      <w:r>
        <w:t xml:space="preserve">Une base de données d'événements et de comportements malveillants, structurée et exploitable pour l'analyse scientifique.</w:t>
      </w:r>
    </w:p>
    <w:p>
      <w:pPr>
        <w:pStyle w:val="ListParagraph"/>
        <w:numPr>
          <w:ilvl w:val="0"/>
          <w:numId w:val="1"/>
        </w:numPr>
        <w:spacing w:after="100"/>
      </w:pPr>
      <w:r>
        <w:t xml:space="preserve">Une classification des attaques selon MITRE ATT&amp;CK, permettant d'identifier les tactiques et techniques les plus fréquemment observées.</w:t>
      </w:r>
    </w:p>
    <w:p>
      <w:pPr>
        <w:pStyle w:val="ListParagraph"/>
        <w:numPr>
          <w:ilvl w:val="0"/>
          <w:numId w:val="1"/>
        </w:numPr>
        <w:spacing w:after="100"/>
      </w:pPr>
      <w:r>
        <w:t xml:space="preserve">Une évaluation quantitative et qualitative de l'efficacité du honeypot selon les critères définis.</w:t>
      </w:r>
    </w:p>
    <w:p>
      <w:pPr>
        <w:pStyle w:val="ListParagraph"/>
        <w:numPr>
          <w:ilvl w:val="0"/>
          <w:numId w:val="1"/>
        </w:numPr>
        <w:spacing w:after="100"/>
      </w:pPr>
      <w:r>
        <w:rPr>
          <w:b/>
          <w:bCs/>
          <w:i/>
          <w:iCs/>
          <w:color w:val="006400"/>
        </w:rPr>
        <w:t xml:space="preserve">Un ensemble de recommandations de sécurité priorisées, déduites des tactiques et techniques MITRE ATT&amp;CK observées, destinées à contribuer à la prévention des cyberattaques en orientant le renforcement de la posture de sécurité du SI universitaire réel.</w:t>
      </w:r>
    </w:p>
    <w:p>
      <w:pPr>
        <w:pStyle w:val="ListParagraph"/>
        <w:numPr>
          <w:ilvl w:val="0"/>
          <w:numId w:val="1"/>
        </w:numPr>
        <w:spacing w:after="100"/>
      </w:pPr>
      <w:r>
        <w:t xml:space="preserve">Des recommandations méthodologiques et opérationnelles pour la mise en place de solutions similaires dans d'autres environnements universitaires.</w:t>
      </w:r>
    </w:p>
    <w:p>
      <w:pPr>
        <w:pStyle w:val="Heading1"/>
        <w:spacing w:after="200" w:before="400"/>
      </w:pPr>
      <w:r>
        <w:t xml:space="preserve">Chapitre 3 – Démarche méthodologique</w:t>
      </w:r>
    </w:p>
    <w:p>
      <w:pPr>
        <w:spacing w:after="160"/>
      </w:pPr>
      <w:r>
        <w:t xml:space="preserve">La démarche adoptée dans ce mémoire s'inscrit dans une logique expérimentale et analytique. Elle articule conception, implémentation, expérimentation et analyse, dans le but de produire une connaissance structurée sur l'efficacité d'un honeypot multi-services à leurres dynamiques en environnement universitaire (Strom et al., 2018 ; Spitzner, 2003).</w:t>
      </w:r>
    </w:p>
    <w:p>
      <w:pPr>
        <w:pStyle w:val="Heading2"/>
        <w:spacing w:after="160" w:before="300"/>
      </w:pPr>
      <w:r>
        <w:t xml:space="preserve">3.1 Vue d'ensemble des phases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500"/>
        <w:gridCol w:w="4000"/>
      </w:tblGrid>
      <w:tr>
        <w:tc>
          <w:tcPr>
            <w:tcW w:type="dxa" w:w="1300"/>
            <w:shd w:fill="D9E2D9" w:val="clear"/>
          </w:tcPr>
          <w:p>
            <w:r>
              <w:rPr>
                <w:b/>
                <w:bCs/>
              </w:rPr>
              <w:t xml:space="preserve">Phase</w:t>
            </w:r>
          </w:p>
        </w:tc>
        <w:tc>
          <w:tcPr>
            <w:tcW w:type="dxa" w:w="2200"/>
            <w:shd w:fill="D9E2D9" w:val="clear"/>
          </w:tcPr>
          <w:p>
            <w:r>
              <w:rPr>
                <w:b/>
                <w:bCs/>
              </w:rPr>
              <w:t xml:space="preserve">Intitulé</w:t>
            </w:r>
          </w:p>
        </w:tc>
        <w:tc>
          <w:tcPr>
            <w:tcW w:type="dxa" w:w="1500"/>
            <w:shd w:fill="D9E2D9" w:val="clear"/>
          </w:tcPr>
          <w:p>
            <w:r>
              <w:rPr>
                <w:b/>
                <w:bCs/>
              </w:rPr>
              <w:t xml:space="preserve">Durée</w:t>
            </w:r>
          </w:p>
        </w:tc>
        <w:tc>
          <w:tcPr>
            <w:tcW w:type="dxa" w:w="4000"/>
            <w:shd w:fill="D9E2D9" w:val="clear"/>
          </w:tcPr>
          <w:p>
            <w:r>
              <w:rPr>
                <w:b/>
                <w:bCs/>
              </w:rPr>
              <w:t xml:space="preserve">Activités principales</w:t>
            </w:r>
          </w:p>
        </w:tc>
      </w:tr>
      <w:tr>
        <w:tc>
          <w:tcPr>
            <w:tcW w:type="dxa" w:w="1300"/>
          </w:tcPr>
          <w:p>
            <w:r>
              <w:rPr>
                <w:b w:val="false"/>
                <w:bCs w:val="false"/>
              </w:rPr>
              <w:t xml:space="preserve">Phase 1</w:t>
            </w:r>
          </w:p>
        </w:tc>
        <w:tc>
          <w:tcPr>
            <w:tcW w:type="dxa" w:w="2200"/>
          </w:tcPr>
          <w:p>
            <w:r>
              <w:rPr>
                <w:b w:val="false"/>
                <w:bCs w:val="false"/>
              </w:rPr>
              <w:t xml:space="preserve">Analyse des besoins</w:t>
            </w:r>
          </w:p>
        </w:tc>
        <w:tc>
          <w:tcPr>
            <w:tcW w:type="dxa" w:w="1500"/>
          </w:tcPr>
          <w:p>
            <w:r>
              <w:rPr>
                <w:b w:val="false"/>
                <w:bCs w:val="false"/>
              </w:rPr>
              <w:t xml:space="preserve">2 semaines</w:t>
            </w:r>
          </w:p>
        </w:tc>
        <w:tc>
          <w:tcPr>
            <w:tcW w:type="dxa" w:w="4000"/>
          </w:tcPr>
          <w:p>
            <w:r>
              <w:rPr>
                <w:b w:val="false"/>
                <w:bCs w:val="false"/>
              </w:rPr>
              <w:t xml:space="preserve">Identification des services critiques, cartographie des infrastructures universitaires existantes.</w:t>
            </w:r>
          </w:p>
        </w:tc>
      </w:tr>
      <w:tr>
        <w:tc>
          <w:tcPr>
            <w:tcW w:type="dxa" w:w="1300"/>
          </w:tcPr>
          <w:p>
            <w:r>
              <w:rPr>
                <w:b w:val="false"/>
                <w:bCs w:val="false"/>
              </w:rPr>
              <w:t xml:space="preserve">Phase 2</w:t>
            </w:r>
          </w:p>
        </w:tc>
        <w:tc>
          <w:tcPr>
            <w:tcW w:type="dxa" w:w="2200"/>
          </w:tcPr>
          <w:p>
            <w:r>
              <w:rPr>
                <w:b w:val="false"/>
                <w:bCs w:val="false"/>
              </w:rPr>
              <w:t xml:space="preserve">Conception</w:t>
            </w:r>
          </w:p>
        </w:tc>
        <w:tc>
          <w:tcPr>
            <w:tcW w:type="dxa" w:w="1500"/>
          </w:tcPr>
          <w:p>
            <w:r>
              <w:rPr>
                <w:b w:val="false"/>
                <w:bCs w:val="false"/>
              </w:rPr>
              <w:t xml:space="preserve">1 semaine</w:t>
            </w:r>
          </w:p>
        </w:tc>
        <w:tc>
          <w:tcPr>
            <w:tcW w:type="dxa" w:w="4000"/>
          </w:tcPr>
          <w:p>
            <w:r>
              <w:rPr>
                <w:b w:val="false"/>
                <w:bCs w:val="false"/>
              </w:rPr>
              <w:t xml:space="preserve">Définition de l'architecture, sélection des outils, modélisation des leurres dynamiques.</w:t>
            </w:r>
          </w:p>
        </w:tc>
      </w:tr>
      <w:tr>
        <w:tc>
          <w:tcPr>
            <w:tcW w:type="dxa" w:w="1300"/>
          </w:tcPr>
          <w:p>
            <w:r>
              <w:rPr>
                <w:b w:val="false"/>
                <w:bCs w:val="false"/>
              </w:rPr>
              <w:t xml:space="preserve">Phase 3</w:t>
            </w:r>
          </w:p>
        </w:tc>
        <w:tc>
          <w:tcPr>
            <w:tcW w:type="dxa" w:w="2200"/>
          </w:tcPr>
          <w:p>
            <w:r>
              <w:rPr>
                <w:b w:val="false"/>
                <w:bCs w:val="false"/>
              </w:rPr>
              <w:t xml:space="preserve">Implémentation</w:t>
            </w:r>
          </w:p>
        </w:tc>
        <w:tc>
          <w:tcPr>
            <w:tcW w:type="dxa" w:w="1500"/>
          </w:tcPr>
          <w:p>
            <w:r>
              <w:rPr>
                <w:b w:val="false"/>
                <w:bCs w:val="false"/>
              </w:rPr>
              <w:t xml:space="preserve">3-4 semaines</w:t>
            </w:r>
          </w:p>
        </w:tc>
        <w:tc>
          <w:tcPr>
            <w:tcW w:type="dxa" w:w="4000"/>
          </w:tcPr>
          <w:p>
            <w:r>
              <w:rPr>
                <w:b w:val="false"/>
                <w:bCs w:val="false"/>
              </w:rPr>
              <w:t xml:space="preserve">Déploiement, intégration des services simulés, activation des modules de journalisation et de leurres.</w:t>
            </w:r>
          </w:p>
        </w:tc>
      </w:tr>
      <w:tr>
        <w:tc>
          <w:tcPr>
            <w:tcW w:type="dxa" w:w="1300"/>
          </w:tcPr>
          <w:p>
            <w:r>
              <w:rPr>
                <w:b w:val="false"/>
                <w:bCs w:val="false"/>
              </w:rPr>
              <w:t xml:space="preserve">Phase 4</w:t>
            </w:r>
          </w:p>
        </w:tc>
        <w:tc>
          <w:tcPr>
            <w:tcW w:type="dxa" w:w="2200"/>
          </w:tcPr>
          <w:p>
            <w:r>
              <w:rPr>
                <w:b w:val="false"/>
                <w:bCs w:val="false"/>
              </w:rPr>
              <w:t xml:space="preserve">Expérimentation &amp; Analyse</w:t>
            </w:r>
          </w:p>
        </w:tc>
        <w:tc>
          <w:tcPr>
            <w:tcW w:type="dxa" w:w="1500"/>
          </w:tcPr>
          <w:p>
            <w:r>
              <w:rPr>
                <w:b w:val="false"/>
                <w:bCs w:val="false"/>
              </w:rPr>
              <w:t xml:space="preserve">2-3 semaines</w:t>
            </w:r>
          </w:p>
        </w:tc>
        <w:tc>
          <w:tcPr>
            <w:tcW w:type="dxa" w:w="4000"/>
          </w:tcPr>
          <w:p>
            <w:r>
              <w:rPr>
                <w:b w:val="false"/>
                <w:bCs w:val="false"/>
              </w:rPr>
              <w:t xml:space="preserve">Exposition contrôlée, collecte des données, mapping MITRE ATT&amp;CK, validation des hypothèses.</w:t>
            </w:r>
          </w:p>
        </w:tc>
      </w:tr>
    </w:tbl>
    <w:p>
      <w:pPr>
        <w:pStyle w:val="Heading2"/>
        <w:spacing w:after="160" w:before="300"/>
      </w:pPr>
      <w:r>
        <w:t xml:space="preserve">3.2 Phase 1 — Analyse des besoins et état de l'art</w:t>
      </w:r>
    </w:p>
    <w:p>
      <w:pPr>
        <w:pBdr>
          <w:top w:val="single" w:color="999999" w:sz="6"/>
          <w:bottom w:val="single" w:color="999999" w:sz="6"/>
          <w:left w:val="single" w:color="999999" w:sz="6"/>
          <w:right w:val="single" w:color="999999" w:sz="6"/>
        </w:pBdr>
        <w:shd w:fill="F2F2F2" w:val="clear"/>
        <w:spacing w:after="200" w:before="120"/>
      </w:pPr>
      <w:r>
        <w:rPr>
          <w:i/>
          <w:iCs/>
        </w:rPr>
        <w:t xml:space="preserve">H1 : L'intégration de leurres dynamiques dans un honeypot multi-services améliore significativement la qualité et la profondeur des interactions avec les attaquants, comparativement à un honeypot à environnement statique.</w:t>
      </w:r>
    </w:p>
    <w:p>
      <w:pPr>
        <w:pStyle w:val="Heading2"/>
        <w:spacing w:after="160" w:before="300"/>
      </w:pPr>
      <w:r>
        <w:t xml:space="preserve">3.3 Phase 2 — Implémentation</w:t>
      </w:r>
    </w:p>
    <w:p>
      <w:pPr>
        <w:spacing w:after="160"/>
      </w:pPr>
      <w:r>
        <w:t xml:space="preserve">L'implémentation consiste à matérialiser le modèle conceptuel dans un environnement contrôlé, en garantissant une collecte de données fiable et reproductible.</w:t>
      </w:r>
    </w:p>
    <w:p>
      <w:pPr>
        <w:pStyle w:val="Heading2"/>
        <w:spacing w:after="160" w:before="300"/>
      </w:pPr>
      <w:r>
        <w:t xml:space="preserve">3.4 Phase 3 — Expérimentation</w:t>
      </w:r>
    </w:p>
    <w:p>
      <w:pPr>
        <w:pBdr>
          <w:top w:val="single" w:color="999999" w:sz="6"/>
          <w:bottom w:val="single" w:color="999999" w:sz="6"/>
          <w:left w:val="single" w:color="999999" w:sz="6"/>
          <w:right w:val="single" w:color="999999" w:sz="6"/>
        </w:pBdr>
        <w:shd w:fill="F2F2F2" w:val="clear"/>
        <w:spacing w:after="200" w:before="120"/>
      </w:pPr>
      <w:r>
        <w:rPr>
          <w:i/>
          <w:iCs/>
        </w:rPr>
        <w:t xml:space="preserve">H2 : Le mapping systématique des incidents détectés via le framework MITRE ATT&amp;CK permet une meilleure compréhension des tactiques et techniques utilisées que l'analyse brute des journaux d'événements.</w:t>
      </w:r>
    </w:p>
    <w:p>
      <w:pPr>
        <w:pStyle w:val="Heading2"/>
        <w:spacing w:after="160" w:before="300"/>
      </w:pPr>
      <w:r>
        <w:t xml:space="preserve">3.5 Phase 4 — Analyse et validation</w:t>
      </w:r>
    </w:p>
    <w:p>
      <w:pPr>
        <w:pStyle w:val="ListParagraph"/>
        <w:numPr>
          <w:ilvl w:val="0"/>
          <w:numId w:val="1"/>
        </w:numPr>
        <w:spacing w:after="100"/>
      </w:pPr>
      <w:r>
        <w:t xml:space="preserve">Nettoyage des données : suppression des doublons et des événements non pertinents.</w:t>
      </w:r>
    </w:p>
    <w:p>
      <w:pPr>
        <w:pStyle w:val="ListParagraph"/>
        <w:numPr>
          <w:ilvl w:val="0"/>
          <w:numId w:val="1"/>
        </w:numPr>
        <w:spacing w:after="100"/>
      </w:pPr>
      <w:r>
        <w:t xml:space="preserve">Structuration : organisation des logs selon un schéma compatible avec le mapping MITRE ATT&amp;CK.</w:t>
      </w:r>
    </w:p>
    <w:p>
      <w:pPr>
        <w:pStyle w:val="ListParagraph"/>
        <w:numPr>
          <w:ilvl w:val="0"/>
          <w:numId w:val="1"/>
        </w:numPr>
        <w:spacing w:after="100"/>
      </w:pPr>
      <w:r>
        <w:t xml:space="preserve">Classification : association des actions observées aux tactiques et techniques correspondantes.</w:t>
      </w:r>
    </w:p>
    <w:p>
      <w:pPr>
        <w:pStyle w:val="Heading1"/>
        <w:spacing w:after="200" w:before="400"/>
      </w:pPr>
      <w:r>
        <w:t xml:space="preserve">Chapitre 4 – État des lieux des solutions existantes et solution proposée</w:t>
      </w:r>
    </w:p>
    <w:p>
      <w:pPr>
        <w:pStyle w:val="Heading2"/>
        <w:spacing w:after="160" w:before="300"/>
      </w:pPr>
      <w:r>
        <w:t xml:space="preserve">4.1 Fondements théoriques des honeypots</w:t>
      </w:r>
    </w:p>
    <w:p>
      <w:pPr>
        <w:spacing w:after="160"/>
      </w:pPr>
      <w:r>
        <w:t xml:space="preserve">Le concept de honeypot a été formalisé par Lance Spitzner au début des années 2000 (Spitzner, 2003). Les travaux de Provos et Holz ont ensuite structuré la classification moderne des honeypots (Provos &amp; Holz, 2007), distinguant niveau d'interaction, surface d'exposition et finalité poursuivie.</w:t>
      </w:r>
    </w:p>
    <w:p>
      <w:pPr>
        <w:pStyle w:val="Heading2"/>
        <w:spacing w:after="160" w:before="300"/>
      </w:pPr>
      <w:r>
        <w:t xml:space="preserve">4.2 Revue des solutions existantes</w:t>
      </w:r>
    </w:p>
    <w:p>
      <w:pPr>
        <w:pStyle w:val="Heading3"/>
        <w:spacing w:after="120" w:before="240"/>
      </w:pPr>
      <w:r>
        <w:t xml:space="preserve">4.2.1 Honeypots à faible interaction</w:t>
      </w:r>
    </w:p>
    <w:p>
      <w:pPr>
        <w:spacing w:after="160"/>
      </w:pPr>
      <w:r>
        <w:t xml:space="preserve">Honeyd, Dionaea et Glastopf émulent partiellement des services réseau sans offrir un système complet exploitable. Efficaces pour détecter des scans automatisés, mais produisent des données peu riches en comportement stratégique.</w:t>
      </w:r>
    </w:p>
    <w:p>
      <w:pPr>
        <w:pStyle w:val="Heading3"/>
        <w:spacing w:after="120" w:before="240"/>
      </w:pPr>
      <w:r>
        <w:t xml:space="preserve">4.2.2 Honeypots à forte interaction</w:t>
      </w:r>
    </w:p>
    <w:p>
      <w:pPr>
        <w:spacing w:after="160"/>
      </w:pPr>
      <w:r>
        <w:t xml:space="preserve">Le Honeynet Project constitue la référence académique la plus connue de cette catégorie. Richesse analytique importante mais infrastructure plus lourde à maîtriser.</w:t>
      </w:r>
    </w:p>
    <w:p>
      <w:pPr>
        <w:pStyle w:val="Heading3"/>
        <w:spacing w:after="120" w:before="240"/>
      </w:pPr>
      <w:r>
        <w:t xml:space="preserve">4.2.3 Honeypots spécialisés mono-service : le cas Cowrie</w:t>
      </w:r>
    </w:p>
    <w:p>
      <w:pPr>
        <w:spacing w:after="160"/>
      </w:pPr>
      <w:r>
        <w:t xml:space="preserve">Cowrie simule des services SSH et Telnet et permet une analyse fine des attaques par brute force, mais sa vision reste restreinte à un vecteur d'attaque spécifique.</w:t>
      </w:r>
    </w:p>
    <w:p>
      <w:pPr>
        <w:pStyle w:val="Heading3"/>
        <w:spacing w:after="120" w:before="240"/>
      </w:pPr>
      <w:r>
        <w:t xml:space="preserve">4.2.4 Plateformes intégrées multi-honeypots : le cas T-Pot</w:t>
      </w:r>
    </w:p>
    <w:p>
      <w:pPr>
        <w:spacing w:after="160"/>
      </w:pPr>
      <w:r>
        <w:t xml:space="preserve">T-Pot intègre plusieurs honeypots avec centralisation ELK, mais ses leurres restent majoritairement statiques et le mapping MITRE ATT&amp;CK n'est pas intégré nativement.</w:t>
      </w:r>
    </w:p>
    <w:p>
      <w:pPr>
        <w:pStyle w:val="Heading2"/>
        <w:spacing w:after="160" w:before="300"/>
      </w:pPr>
      <w:r>
        <w:t xml:space="preserve">4.3 Tableau comparatif des solutions existantes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E2D9" w:val="clear"/>
          </w:tcPr>
          <w:p>
            <w:r>
              <w:rPr>
                <w:b/>
                <w:bCs/>
              </w:rPr>
              <w:t xml:space="preserve">Solution</w:t>
            </w:r>
          </w:p>
        </w:tc>
        <w:tc>
          <w:tcPr>
            <w:tcW w:type="dxa" w:w="1800"/>
            <w:shd w:fill="D9E2D9" w:val="clear"/>
          </w:tcPr>
          <w:p>
            <w:r>
              <w:rPr>
                <w:b/>
                <w:bCs/>
              </w:rPr>
              <w:t xml:space="preserve">Multi-services</w:t>
            </w:r>
          </w:p>
        </w:tc>
        <w:tc>
          <w:tcPr>
            <w:tcW w:type="dxa" w:w="1800"/>
            <w:shd w:fill="D9E2D9" w:val="clear"/>
          </w:tcPr>
          <w:p>
            <w:r>
              <w:rPr>
                <w:b/>
                <w:bCs/>
              </w:rPr>
              <w:t xml:space="preserve">Interaction</w:t>
            </w:r>
          </w:p>
        </w:tc>
        <w:tc>
          <w:tcPr>
            <w:tcW w:type="dxa" w:w="1800"/>
            <w:shd w:fill="D9E2D9" w:val="clear"/>
          </w:tcPr>
          <w:p>
            <w:r>
              <w:rPr>
                <w:b/>
                <w:bCs/>
              </w:rPr>
              <w:t xml:space="preserve">Leurres dyn.</w:t>
            </w:r>
          </w:p>
        </w:tc>
        <w:tc>
          <w:tcPr>
            <w:tcW w:type="dxa" w:w="1800"/>
            <w:shd w:fill="D9E2D9" w:val="clear"/>
          </w:tcPr>
          <w:p>
            <w:r>
              <w:rPr>
                <w:b/>
                <w:bCs/>
              </w:rPr>
              <w:t xml:space="preserve">Mapping MITRE</w:t>
            </w:r>
          </w:p>
        </w:tc>
      </w:tr>
      <w:tr>
        <w:tc>
          <w:tcPr>
            <w:tcW w:type="dxa" w:w="1800"/>
          </w:tcPr>
          <w:p>
            <w:r>
              <w:rPr>
                <w:b w:val="false"/>
                <w:bCs w:val="false"/>
              </w:rPr>
              <w:t xml:space="preserve">Honeyd</w:t>
            </w:r>
          </w:p>
        </w:tc>
        <w:tc>
          <w:tcPr>
            <w:tcW w:type="dxa" w:w="1800"/>
          </w:tcPr>
          <w:p>
            <w:r>
              <w:rPr>
                <w:b w:val="false"/>
                <w:bCs w:val="false"/>
              </w:rPr>
              <w:t xml:space="preserve">Non</w:t>
            </w:r>
          </w:p>
        </w:tc>
        <w:tc>
          <w:tcPr>
            <w:tcW w:type="dxa" w:w="1800"/>
          </w:tcPr>
          <w:p>
            <w:r>
              <w:rPr>
                <w:b w:val="false"/>
                <w:bCs w:val="false"/>
              </w:rPr>
              <w:t xml:space="preserve">Faible</w:t>
            </w:r>
          </w:p>
        </w:tc>
        <w:tc>
          <w:tcPr>
            <w:tcW w:type="dxa" w:w="1800"/>
          </w:tcPr>
          <w:p>
            <w:r>
              <w:rPr>
                <w:b w:val="false"/>
                <w:bCs w:val="false"/>
              </w:rPr>
              <w:t xml:space="preserve">Non</w:t>
            </w:r>
          </w:p>
        </w:tc>
        <w:tc>
          <w:tcPr>
            <w:tcW w:type="dxa" w:w="1800"/>
          </w:tcPr>
          <w:p>
            <w:r>
              <w:rPr>
                <w:b w:val="false"/>
                <w:bCs w:val="false"/>
              </w:rPr>
              <w:t xml:space="preserve">Non</w:t>
            </w:r>
          </w:p>
        </w:tc>
      </w:tr>
      <w:tr>
        <w:tc>
          <w:tcPr>
            <w:tcW w:type="dxa" w:w="1800"/>
          </w:tcPr>
          <w:p>
            <w:r>
              <w:rPr>
                <w:b w:val="false"/>
                <w:bCs w:val="false"/>
              </w:rPr>
              <w:t xml:space="preserve">Dionaea</w:t>
            </w:r>
          </w:p>
        </w:tc>
        <w:tc>
          <w:tcPr>
            <w:tcW w:type="dxa" w:w="1800"/>
          </w:tcPr>
          <w:p>
            <w:r>
              <w:rPr>
                <w:b w:val="false"/>
                <w:bCs w:val="false"/>
              </w:rPr>
              <w:t xml:space="preserve">Partiel</w:t>
            </w:r>
          </w:p>
        </w:tc>
        <w:tc>
          <w:tcPr>
            <w:tcW w:type="dxa" w:w="1800"/>
          </w:tcPr>
          <w:p>
            <w:r>
              <w:rPr>
                <w:b w:val="false"/>
                <w:bCs w:val="false"/>
              </w:rPr>
              <w:t xml:space="preserve">Faible</w:t>
            </w:r>
          </w:p>
        </w:tc>
        <w:tc>
          <w:tcPr>
            <w:tcW w:type="dxa" w:w="1800"/>
          </w:tcPr>
          <w:p>
            <w:r>
              <w:rPr>
                <w:b w:val="false"/>
                <w:bCs w:val="false"/>
              </w:rPr>
              <w:t xml:space="preserve">Non</w:t>
            </w:r>
          </w:p>
        </w:tc>
        <w:tc>
          <w:tcPr>
            <w:tcW w:type="dxa" w:w="1800"/>
          </w:tcPr>
          <w:p>
            <w:r>
              <w:rPr>
                <w:b w:val="false"/>
                <w:bCs w:val="false"/>
              </w:rPr>
              <w:t xml:space="preserve">Non</w:t>
            </w:r>
          </w:p>
        </w:tc>
      </w:tr>
      <w:tr>
        <w:tc>
          <w:tcPr>
            <w:tcW w:type="dxa" w:w="1800"/>
          </w:tcPr>
          <w:p>
            <w:r>
              <w:rPr>
                <w:b w:val="false"/>
                <w:bCs w:val="false"/>
              </w:rPr>
              <w:t xml:space="preserve">Cowrie</w:t>
            </w:r>
          </w:p>
        </w:tc>
        <w:tc>
          <w:tcPr>
            <w:tcW w:type="dxa" w:w="1800"/>
          </w:tcPr>
          <w:p>
            <w:r>
              <w:rPr>
                <w:b w:val="false"/>
                <w:bCs w:val="false"/>
              </w:rPr>
              <w:t xml:space="preserve">Non</w:t>
            </w:r>
          </w:p>
        </w:tc>
        <w:tc>
          <w:tcPr>
            <w:tcW w:type="dxa" w:w="1800"/>
          </w:tcPr>
          <w:p>
            <w:r>
              <w:rPr>
                <w:b w:val="false"/>
                <w:bCs w:val="false"/>
              </w:rPr>
              <w:t xml:space="preserve">Moyen</w:t>
            </w:r>
          </w:p>
        </w:tc>
        <w:tc>
          <w:tcPr>
            <w:tcW w:type="dxa" w:w="1800"/>
          </w:tcPr>
          <w:p>
            <w:r>
              <w:rPr>
                <w:b w:val="false"/>
                <w:bCs w:val="false"/>
              </w:rPr>
              <w:t xml:space="preserve">Limité</w:t>
            </w:r>
          </w:p>
        </w:tc>
        <w:tc>
          <w:tcPr>
            <w:tcW w:type="dxa" w:w="1800"/>
          </w:tcPr>
          <w:p>
            <w:r>
              <w:rPr>
                <w:b w:val="false"/>
                <w:bCs w:val="false"/>
              </w:rPr>
              <w:t xml:space="preserve">Non</w:t>
            </w:r>
          </w:p>
        </w:tc>
      </w:tr>
      <w:tr>
        <w:tc>
          <w:tcPr>
            <w:tcW w:type="dxa" w:w="1800"/>
          </w:tcPr>
          <w:p>
            <w:r>
              <w:rPr>
                <w:b w:val="false"/>
                <w:bCs w:val="false"/>
              </w:rPr>
              <w:t xml:space="preserve">Honeynet VM</w:t>
            </w:r>
          </w:p>
        </w:tc>
        <w:tc>
          <w:tcPr>
            <w:tcW w:type="dxa" w:w="1800"/>
          </w:tcPr>
          <w:p>
            <w:r>
              <w:rPr>
                <w:b w:val="false"/>
                <w:bCs w:val="false"/>
              </w:rPr>
              <w:t xml:space="preserve">Oui</w:t>
            </w:r>
          </w:p>
        </w:tc>
        <w:tc>
          <w:tcPr>
            <w:tcW w:type="dxa" w:w="1800"/>
          </w:tcPr>
          <w:p>
            <w:r>
              <w:rPr>
                <w:b w:val="false"/>
                <w:bCs w:val="false"/>
              </w:rPr>
              <w:t xml:space="preserve">Élevée</w:t>
            </w:r>
          </w:p>
        </w:tc>
        <w:tc>
          <w:tcPr>
            <w:tcW w:type="dxa" w:w="1800"/>
          </w:tcPr>
          <w:p>
            <w:r>
              <w:rPr>
                <w:b w:val="false"/>
                <w:bCs w:val="false"/>
              </w:rPr>
              <w:t xml:space="preserve">Variable</w:t>
            </w:r>
          </w:p>
        </w:tc>
        <w:tc>
          <w:tcPr>
            <w:tcW w:type="dxa" w:w="1800"/>
          </w:tcPr>
          <w:p>
            <w:r>
              <w:rPr>
                <w:b w:val="false"/>
                <w:bCs w:val="false"/>
              </w:rPr>
              <w:t xml:space="preserve">Non</w:t>
            </w:r>
          </w:p>
        </w:tc>
      </w:tr>
      <w:tr>
        <w:tc>
          <w:tcPr>
            <w:tcW w:type="dxa" w:w="1800"/>
          </w:tcPr>
          <w:p>
            <w:r>
              <w:rPr>
                <w:b w:val="false"/>
                <w:bCs w:val="false"/>
              </w:rPr>
              <w:t xml:space="preserve">T-Pot</w:t>
            </w:r>
          </w:p>
        </w:tc>
        <w:tc>
          <w:tcPr>
            <w:tcW w:type="dxa" w:w="1800"/>
          </w:tcPr>
          <w:p>
            <w:r>
              <w:rPr>
                <w:b w:val="false"/>
                <w:bCs w:val="false"/>
              </w:rPr>
              <w:t xml:space="preserve">Oui</w:t>
            </w:r>
          </w:p>
        </w:tc>
        <w:tc>
          <w:tcPr>
            <w:tcW w:type="dxa" w:w="1800"/>
          </w:tcPr>
          <w:p>
            <w:r>
              <w:rPr>
                <w:b w:val="false"/>
                <w:bCs w:val="false"/>
              </w:rPr>
              <w:t xml:space="preserve">Variable</w:t>
            </w:r>
          </w:p>
        </w:tc>
        <w:tc>
          <w:tcPr>
            <w:tcW w:type="dxa" w:w="1800"/>
          </w:tcPr>
          <w:p>
            <w:r>
              <w:rPr>
                <w:b w:val="false"/>
                <w:bCs w:val="false"/>
              </w:rPr>
              <w:t xml:space="preserve">Statique</w:t>
            </w:r>
          </w:p>
        </w:tc>
        <w:tc>
          <w:tcPr>
            <w:tcW w:type="dxa" w:w="1800"/>
          </w:tcPr>
          <w:p>
            <w:r>
              <w:rPr>
                <w:b w:val="false"/>
                <w:bCs w:val="false"/>
              </w:rPr>
              <w:t xml:space="preserve">Non</w:t>
            </w:r>
          </w:p>
        </w:tc>
      </w:tr>
      <w:tr>
        <w:tc>
          <w:tcPr>
            <w:tcW w:type="dxa" w:w="1800"/>
          </w:tcPr>
          <w:p>
            <w:r>
              <w:rPr>
                <w:b w:val="false"/>
                <w:bCs w:val="false"/>
              </w:rPr>
              <w:t xml:space="preserve">Notre solution</w:t>
            </w:r>
          </w:p>
        </w:tc>
        <w:tc>
          <w:tcPr>
            <w:tcW w:type="dxa" w:w="1800"/>
          </w:tcPr>
          <w:p>
            <w:r>
              <w:rPr>
                <w:b w:val="false"/>
                <w:bCs w:val="false"/>
              </w:rPr>
              <w:t xml:space="preserve">Oui</w:t>
            </w:r>
          </w:p>
        </w:tc>
        <w:tc>
          <w:tcPr>
            <w:tcW w:type="dxa" w:w="1800"/>
          </w:tcPr>
          <w:p>
            <w:r>
              <w:rPr>
                <w:b w:val="false"/>
                <w:bCs w:val="false"/>
              </w:rPr>
              <w:t xml:space="preserve">Élevée</w:t>
            </w:r>
          </w:p>
        </w:tc>
        <w:tc>
          <w:tcPr>
            <w:tcW w:type="dxa" w:w="1800"/>
          </w:tcPr>
          <w:p>
            <w:r>
              <w:rPr>
                <w:b w:val="false"/>
                <w:bCs w:val="false"/>
              </w:rPr>
              <w:t xml:space="preserve">Dynamique</w:t>
            </w:r>
          </w:p>
        </w:tc>
        <w:tc>
          <w:tcPr>
            <w:tcW w:type="dxa" w:w="1800"/>
          </w:tcPr>
          <w:p>
            <w:r>
              <w:rPr>
                <w:b w:val="false"/>
                <w:bCs w:val="false"/>
              </w:rPr>
              <w:t xml:space="preserve">Prévu</w:t>
            </w:r>
          </w:p>
        </w:tc>
      </w:tr>
    </w:tbl>
    <w:p>
      <w:pPr>
        <w:pStyle w:val="Heading2"/>
        <w:spacing w:after="160" w:before="300"/>
      </w:pPr>
      <w:r>
        <w:t xml:space="preserve">4.4 Analyse critique et positionnement</w:t>
      </w:r>
    </w:p>
    <w:p>
      <w:pPr>
        <w:spacing w:after="160"/>
      </w:pPr>
      <w:r>
        <w:t xml:space="preserve">L'analyse comparative révèle un manque méthodologique significatif dans l'état de l'art : aucune solution standard ne combine simultanément architecture multi-services cohérente, leurres dynamiques adaptatifs, classification structurée via MITRE ATT&amp;CK, et orientation académique expérimentale.</w:t>
      </w:r>
    </w:p>
    <w:p>
      <w:pPr>
        <w:pStyle w:val="Heading2"/>
        <w:spacing w:after="160" w:before="300"/>
      </w:pPr>
      <w:r>
        <w:t xml:space="preserve">4.5 Présentation de la solution proposée</w:t>
      </w:r>
    </w:p>
    <w:p>
      <w:pPr>
        <w:pBdr>
          <w:top w:val="single" w:color="999999" w:sz="6"/>
          <w:bottom w:val="single" w:color="999999" w:sz="6"/>
          <w:left w:val="single" w:color="999999" w:sz="6"/>
          <w:right w:val="single" w:color="999999" w:sz="6"/>
        </w:pBdr>
        <w:shd w:fill="F2F2F2" w:val="clear"/>
        <w:spacing w:after="200" w:before="120"/>
      </w:pPr>
      <w:r>
        <w:rPr>
          <w:i/>
          <w:iCs/>
        </w:rPr>
        <w:t xml:space="preserve">H3 : L'intégration conjointe d'une architecture multi-services et de leurres dynamiques améliore la profondeur d'interaction et la qualité analytique des données collectées, comparativement aux solutions statiques existantes.</w:t>
      </w:r>
    </w:p>
    <w:p>
      <w:pPr>
        <w:pStyle w:val="Heading3"/>
        <w:spacing w:after="120" w:before="240"/>
      </w:pPr>
      <w:r>
        <w:t xml:space="preserve">Architecture fonctionnelle en quatre couches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500"/>
      </w:tblGrid>
      <w:tr>
        <w:tc>
          <w:tcPr>
            <w:tcW w:type="dxa" w:w="700"/>
            <w:shd w:fill="D9E2D9" w:val="clear"/>
          </w:tcPr>
          <w:p>
            <w:r>
              <w:rPr>
                <w:b/>
                <w:bCs/>
              </w:rPr>
              <w:t xml:space="preserve">#</w:t>
            </w:r>
          </w:p>
        </w:tc>
        <w:tc>
          <w:tcPr>
            <w:tcW w:type="dxa" w:w="2800"/>
            <w:shd w:fill="D9E2D9" w:val="clear"/>
          </w:tcPr>
          <w:p>
            <w:r>
              <w:rPr>
                <w:b/>
                <w:bCs/>
              </w:rPr>
              <w:t xml:space="preserve">Couche fonctionnelle</w:t>
            </w:r>
          </w:p>
        </w:tc>
        <w:tc>
          <w:tcPr>
            <w:tcW w:type="dxa" w:w="5500"/>
            <w:shd w:fill="D9E2D9" w:val="clear"/>
          </w:tcPr>
          <w:p>
            <w:r>
              <w:rPr>
                <w:b/>
                <w:bCs/>
              </w:rPr>
              <w:t xml:space="preserve">Description</w:t>
            </w:r>
          </w:p>
        </w:tc>
      </w:tr>
      <w:tr>
        <w:tc>
          <w:tcPr>
            <w:tcW w:type="dxa" w:w="700"/>
          </w:tcPr>
          <w:p>
            <w:r>
              <w:rPr>
                <w:b w:val="false"/>
                <w:bCs w:val="false"/>
              </w:rPr>
              <w:t xml:space="preserve">1</w:t>
            </w:r>
          </w:p>
        </w:tc>
        <w:tc>
          <w:tcPr>
            <w:tcW w:type="dxa" w:w="2800"/>
          </w:tcPr>
          <w:p>
            <w:r>
              <w:rPr>
                <w:b w:val="false"/>
                <w:bCs w:val="false"/>
              </w:rPr>
              <w:t xml:space="preserve">Simulation multi-services</w:t>
            </w:r>
          </w:p>
        </w:tc>
        <w:tc>
          <w:tcPr>
            <w:tcW w:type="dxa" w:w="5500"/>
          </w:tcPr>
          <w:p>
            <w:r>
              <w:rPr>
                <w:b w:val="false"/>
                <w:bCs w:val="false"/>
              </w:rPr>
              <w:t xml:space="preserve">Émulation des services réseau, chacun reproduisant les caractéristiques d'un composant du SI universitaire.</w:t>
            </w:r>
          </w:p>
        </w:tc>
      </w:tr>
      <w:tr>
        <w:tc>
          <w:tcPr>
            <w:tcW w:type="dxa" w:w="700"/>
          </w:tcPr>
          <w:p>
            <w:r>
              <w:rPr>
                <w:b w:val="false"/>
                <w:bCs w:val="false"/>
              </w:rPr>
              <w:t xml:space="preserve">2</w:t>
            </w:r>
          </w:p>
        </w:tc>
        <w:tc>
          <w:tcPr>
            <w:tcW w:type="dxa" w:w="2800"/>
          </w:tcPr>
          <w:p>
            <w:r>
              <w:rPr>
                <w:b w:val="false"/>
                <w:bCs w:val="false"/>
              </w:rPr>
              <w:t xml:space="preserve">Leurres dynamiques</w:t>
            </w:r>
          </w:p>
        </w:tc>
        <w:tc>
          <w:tcPr>
            <w:tcW w:type="dxa" w:w="5500"/>
          </w:tcPr>
          <w:p>
            <w:r>
              <w:rPr>
                <w:b w:val="false"/>
                <w:bCs w:val="false"/>
              </w:rPr>
              <w:t xml:space="preserve">Génération de comptes fictifs, arborescences évolutives, réponses contextuelles.</w:t>
            </w:r>
          </w:p>
        </w:tc>
      </w:tr>
      <w:tr>
        <w:tc>
          <w:tcPr>
            <w:tcW w:type="dxa" w:w="700"/>
          </w:tcPr>
          <w:p>
            <w:r>
              <w:rPr>
                <w:b w:val="false"/>
                <w:bCs w:val="false"/>
              </w:rPr>
              <w:t xml:space="preserve">3</w:t>
            </w:r>
          </w:p>
        </w:tc>
        <w:tc>
          <w:tcPr>
            <w:tcW w:type="dxa" w:w="2800"/>
          </w:tcPr>
          <w:p>
            <w:r>
              <w:rPr>
                <w:b w:val="false"/>
                <w:bCs w:val="false"/>
              </w:rPr>
              <w:t xml:space="preserve">Collecte centralisée</w:t>
            </w:r>
          </w:p>
        </w:tc>
        <w:tc>
          <w:tcPr>
            <w:tcW w:type="dxa" w:w="5500"/>
          </w:tcPr>
          <w:p>
            <w:r>
              <w:rPr>
                <w:b w:val="false"/>
                <w:bCs w:val="false"/>
              </w:rPr>
              <w:t xml:space="preserve">Journalisation horodatée des événements, structuration normalisée des logs.</w:t>
            </w:r>
          </w:p>
        </w:tc>
      </w:tr>
      <w:tr>
        <w:tc>
          <w:tcPr>
            <w:tcW w:type="dxa" w:w="700"/>
          </w:tcPr>
          <w:p>
            <w:r>
              <w:rPr>
                <w:b w:val="false"/>
                <w:bCs w:val="false"/>
              </w:rPr>
              <w:t xml:space="preserve">4</w:t>
            </w:r>
          </w:p>
        </w:tc>
        <w:tc>
          <w:tcPr>
            <w:tcW w:type="dxa" w:w="2800"/>
          </w:tcPr>
          <w:p>
            <w:r>
              <w:rPr>
                <w:b w:val="false"/>
                <w:bCs w:val="false"/>
              </w:rPr>
              <w:t xml:space="preserve">Analytique MITRE ATT&amp;CK</w:t>
            </w:r>
          </w:p>
        </w:tc>
        <w:tc>
          <w:tcPr>
            <w:tcW w:type="dxa" w:w="5500"/>
          </w:tcPr>
          <w:p>
            <w:r>
              <w:rPr>
                <w:b w:val="false"/>
                <w:bCs w:val="false"/>
              </w:rPr>
              <w:t xml:space="preserve">Mapping de chaque événement observé à une tactique et une technique du référentiel.</w:t>
            </w:r>
          </w:p>
        </w:tc>
      </w:tr>
    </w:tbl>
    <w:p>
      <w:pPr>
        <w:pStyle w:val="Heading1"/>
        <w:spacing w:after="200" w:before="400"/>
      </w:pPr>
      <w:r>
        <w:t xml:space="preserve">Chapitre 5 – Axe de différenciation</w:t>
      </w:r>
    </w:p>
    <w:p>
      <w:pPr>
        <w:spacing w:after="160"/>
      </w:pPr>
      <w:r>
        <w:t xml:space="preserve">L'originalité de cette étude repose sur la combinaison de leurres dynamiques et d'un mapping structuré via MITRE ATT&amp;CK, appliquée à un honeypot multi-services dans un contexte universitaire.</w:t>
      </w:r>
    </w:p>
    <w:p>
      <w:pPr>
        <w:pStyle w:val="Heading2"/>
        <w:spacing w:after="160" w:before="300"/>
      </w:pPr>
      <w:r>
        <w:t xml:space="preserve">5.1 Leurres dynamiques et crédibilité du système</w:t>
      </w:r>
    </w:p>
    <w:p>
      <w:pPr>
        <w:pStyle w:val="ListParagraph"/>
        <w:numPr>
          <w:ilvl w:val="0"/>
          <w:numId w:val="1"/>
        </w:numPr>
        <w:spacing w:after="100"/>
      </w:pPr>
      <w:r>
        <w:t xml:space="preserve">Bannières SSH variables : versions logicielles et messages d'accueil réalistes.</w:t>
      </w:r>
    </w:p>
    <w:p>
      <w:pPr>
        <w:pStyle w:val="ListParagraph"/>
        <w:numPr>
          <w:ilvl w:val="0"/>
          <w:numId w:val="1"/>
        </w:numPr>
        <w:spacing w:after="100"/>
      </w:pPr>
      <w:r>
        <w:t xml:space="preserve">Utilisateurs fictifs dynamiques : profils générés à la demande, avec attributs cohérents.</w:t>
      </w:r>
    </w:p>
    <w:p>
      <w:pPr>
        <w:pStyle w:val="ListParagraph"/>
        <w:numPr>
          <w:ilvl w:val="0"/>
          <w:numId w:val="1"/>
        </w:numPr>
        <w:spacing w:after="100"/>
      </w:pPr>
      <w:r>
        <w:t xml:space="preserve">Arborescence évolutive : documents et données simulées qui changent au fil du temps.</w:t>
      </w:r>
    </w:p>
    <w:p>
      <w:pPr>
        <w:pStyle w:val="ListParagraph"/>
        <w:numPr>
          <w:ilvl w:val="0"/>
          <w:numId w:val="1"/>
        </w:numPr>
        <w:spacing w:after="100"/>
      </w:pPr>
      <w:r>
        <w:t xml:space="preserve">Réponses contextuelles : réactions adaptées aux commandes exécutées par l'attaquant.</w:t>
      </w:r>
    </w:p>
    <w:p>
      <w:pPr>
        <w:pStyle w:val="Heading2"/>
        <w:spacing w:after="160" w:before="300"/>
      </w:pPr>
      <w:r>
        <w:t xml:space="preserve">5.2 Intégration du mapping MITRE ATT&amp;CK</w:t>
      </w:r>
    </w:p>
    <w:p>
      <w:pPr>
        <w:pStyle w:val="ListParagraph"/>
        <w:numPr>
          <w:ilvl w:val="0"/>
          <w:numId w:val="1"/>
        </w:numPr>
        <w:spacing w:after="100"/>
      </w:pPr>
      <w:r>
        <w:t xml:space="preserve">Classification par tactiques et techniques (Initial Access, Execution, Persistence, etc.).</w:t>
      </w:r>
    </w:p>
    <w:p>
      <w:pPr>
        <w:pStyle w:val="ListParagraph"/>
        <w:numPr>
          <w:ilvl w:val="0"/>
          <w:numId w:val="1"/>
        </w:numPr>
        <w:spacing w:after="100"/>
      </w:pPr>
      <w:r>
        <w:t xml:space="preserve">Identification séquentielle des étapes d'attaque pour chaque interaction observée.</w:t>
      </w:r>
    </w:p>
    <w:p>
      <w:pPr>
        <w:pStyle w:val="ListParagraph"/>
        <w:numPr>
          <w:ilvl w:val="0"/>
          <w:numId w:val="1"/>
        </w:numPr>
        <w:spacing w:after="100"/>
      </w:pPr>
      <w:r>
        <w:t xml:space="preserve">Production d'indicateurs exploitables : techniques distinctes observées, profondeur des interactions.</w:t>
      </w:r>
    </w:p>
    <w:p>
      <w:pPr>
        <w:pStyle w:val="Heading2"/>
        <w:spacing w:after="160" w:before="300"/>
      </w:pPr>
      <w:r>
        <w:t xml:space="preserve">5.3 Synthèse des deux piliers de différenciation</w:t>
      </w:r>
    </w:p>
    <w:p>
      <w:pPr>
        <w:pStyle w:val="ListParagraph"/>
        <w:numPr>
          <w:ilvl w:val="0"/>
          <w:numId w:val="1"/>
        </w:numPr>
        <w:spacing w:after="100"/>
      </w:pPr>
      <w:r>
        <w:t xml:space="preserve">Le réalisme des interactions, pour capter des comportements crédibles et variés.</w:t>
      </w:r>
    </w:p>
    <w:p>
      <w:pPr>
        <w:pStyle w:val="ListParagraph"/>
        <w:numPr>
          <w:ilvl w:val="0"/>
          <w:numId w:val="1"/>
        </w:numPr>
        <w:spacing w:after="100"/>
      </w:pPr>
      <w:r>
        <w:t xml:space="preserve">La structuration analytique, pour produire de la connaissance exploitable et mesurable.</w:t>
      </w:r>
    </w:p>
    <w:p>
      <w:pPr>
        <w:pStyle w:val="Heading1"/>
        <w:spacing w:after="200" w:before="400"/>
      </w:pPr>
      <w:r>
        <w:t xml:space="preserve">Chapitre 6 – Étude de faisabilité et conception de la solution</w:t>
      </w:r>
    </w:p>
    <w:p>
      <w:pPr>
        <w:pStyle w:val="Heading2"/>
        <w:spacing w:after="160" w:before="300"/>
      </w:pPr>
      <w:r>
        <w:t xml:space="preserve">A — Étude de faisabilité</w:t>
      </w:r>
    </w:p>
    <w:p>
      <w:pPr>
        <w:pStyle w:val="Heading3"/>
        <w:spacing w:after="120" w:before="240"/>
      </w:pPr>
      <w:r>
        <w:t xml:space="preserve">6.1 Analyse des besoins</w:t>
      </w:r>
    </w:p>
    <w:p>
      <w:pPr>
        <w:spacing w:after="160"/>
      </w:pPr>
      <w:r>
        <w:t xml:space="preserve">Objectif : identifier les exigences fonctionnelles et non fonctionnelles d'un honeypot multi-services destiné à un environnement universitaire.</w:t>
      </w:r>
    </w:p>
    <w:p>
      <w:pPr>
        <w:pStyle w:val="Heading3"/>
        <w:spacing w:after="120" w:before="240"/>
      </w:pPr>
      <w:r>
        <w:t xml:space="preserve">6.2 Évaluation des capacités technologiques</w:t>
      </w:r>
    </w:p>
    <w:p>
      <w:pPr>
        <w:spacing w:after="160"/>
      </w:pPr>
      <w:r>
        <w:t xml:space="preserve">Recherche technologique comparative sur les honeypots existants ; tests techniques sur machines virtuelles pour évaluer performance et isolabilité.</w:t>
      </w:r>
    </w:p>
    <w:p>
      <w:pPr>
        <w:pStyle w:val="Heading3"/>
        <w:spacing w:after="120" w:before="240"/>
      </w:pPr>
      <w:r>
        <w:t xml:space="preserve">6.3 Analyse des coûts et des ressources</w:t>
      </w:r>
    </w:p>
    <w:p>
      <w:pPr>
        <w:spacing w:after="160"/>
      </w:pPr>
      <w:r>
        <w:t xml:space="preserve">Estimation des ressources matérielles, humaines et financières nécessaires à la conception et à l'implémentation de la solution.</w:t>
      </w:r>
    </w:p>
    <w:p>
      <w:pPr>
        <w:pStyle w:val="Heading2"/>
        <w:spacing w:after="160" w:before="300"/>
      </w:pPr>
      <w:r>
        <w:t xml:space="preserve">B — Conception de la solution</w:t>
      </w:r>
    </w:p>
    <w:p>
      <w:pPr>
        <w:pStyle w:val="Heading3"/>
        <w:spacing w:after="120" w:before="240"/>
      </w:pPr>
      <w:r>
        <w:t xml:space="preserve">6.4 Priorisation des fonctionnalités — Méthode MoSCoW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E2D9" w:val="clear"/>
          </w:tcPr>
          <w:p>
            <w:r>
              <w:rPr>
                <w:b/>
                <w:bCs/>
              </w:rPr>
              <w:t xml:space="preserve">Priorité</w:t>
            </w:r>
          </w:p>
        </w:tc>
        <w:tc>
          <w:tcPr>
            <w:tcW w:type="dxa" w:w="6800"/>
            <w:shd w:fill="D9E2D9" w:val="clear"/>
          </w:tcPr>
          <w:p>
            <w:r>
              <w:rPr>
                <w:b/>
                <w:bCs/>
              </w:rPr>
              <w:t xml:space="preserve">Contenu</w:t>
            </w:r>
          </w:p>
        </w:tc>
      </w:tr>
      <w:tr>
        <w:tc>
          <w:tcPr>
            <w:tcW w:type="dxa" w:w="2200"/>
          </w:tcPr>
          <w:p>
            <w:r>
              <w:rPr>
                <w:b w:val="false"/>
                <w:bCs w:val="false"/>
              </w:rPr>
              <w:t xml:space="preserve">Must Have</w:t>
            </w:r>
          </w:p>
        </w:tc>
        <w:tc>
          <w:tcPr>
            <w:tcW w:type="dxa" w:w="6800"/>
          </w:tcPr>
          <w:p>
            <w:r>
              <w:rPr>
                <w:b w:val="false"/>
                <w:bCs w:val="false"/>
              </w:rPr>
              <w:t xml:space="preserve">Simulation multi-services · Leurres dynamiques · Collecte et centralisation des logs · Mapping MITRE ATT&amp;CK</w:t>
            </w:r>
          </w:p>
        </w:tc>
      </w:tr>
      <w:tr>
        <w:tc>
          <w:tcPr>
            <w:tcW w:type="dxa" w:w="2200"/>
          </w:tcPr>
          <w:p>
            <w:r>
              <w:rPr>
                <w:b w:val="false"/>
                <w:bCs w:val="false"/>
              </w:rPr>
              <w:t xml:space="preserve">Should Have</w:t>
            </w:r>
          </w:p>
        </w:tc>
        <w:tc>
          <w:tcPr>
            <w:tcW w:type="dxa" w:w="6800"/>
          </w:tcPr>
          <w:p>
            <w:r>
              <w:rPr>
                <w:b w:val="false"/>
                <w:bCs w:val="false"/>
              </w:rPr>
              <w:t xml:space="preserve">Notifications d'attaques en temps réel · Rapports statistiques · Dashboard administrateur</w:t>
            </w:r>
          </w:p>
        </w:tc>
      </w:tr>
      <w:tr>
        <w:tc>
          <w:tcPr>
            <w:tcW w:type="dxa" w:w="2200"/>
          </w:tcPr>
          <w:p>
            <w:r>
              <w:rPr>
                <w:b w:val="false"/>
                <w:bCs w:val="false"/>
              </w:rPr>
              <w:t xml:space="preserve">Could Have</w:t>
            </w:r>
          </w:p>
        </w:tc>
        <w:tc>
          <w:tcPr>
            <w:tcW w:type="dxa" w:w="6800"/>
          </w:tcPr>
          <w:p>
            <w:r>
              <w:rPr>
                <w:b w:val="false"/>
                <w:bCs w:val="false"/>
              </w:rPr>
              <w:t xml:space="preserve">Extension vers services supplémentaires (LDAP, RDP, SMB)</w:t>
            </w:r>
          </w:p>
        </w:tc>
      </w:tr>
      <w:tr>
        <w:tc>
          <w:tcPr>
            <w:tcW w:type="dxa" w:w="2200"/>
          </w:tcPr>
          <w:p>
            <w:r>
              <w:rPr>
                <w:b w:val="false"/>
                <w:bCs w:val="false"/>
              </w:rPr>
              <w:t xml:space="preserve">Won't Have</w:t>
            </w:r>
          </w:p>
        </w:tc>
        <w:tc>
          <w:tcPr>
            <w:tcW w:type="dxa" w:w="6800"/>
          </w:tcPr>
          <w:p>
            <w:r>
              <w:rPr>
                <w:b w:val="false"/>
                <w:bCs w:val="false"/>
              </w:rPr>
              <w:t xml:space="preserve">Fonctionnalités dépassant le périmètre expérimental de cette phase</w:t>
            </w:r>
          </w:p>
        </w:tc>
      </w:tr>
    </w:tbl>
    <w:p>
      <w:pPr>
        <w:pStyle w:val="Heading3"/>
        <w:spacing w:after="120" w:before="240"/>
      </w:pPr>
      <w:r>
        <w:t xml:space="preserve">6.5 Architecture technique</w:t>
      </w:r>
    </w:p>
    <w:p>
      <w:pPr>
        <w:pStyle w:val="ListParagraph"/>
        <w:numPr>
          <w:ilvl w:val="0"/>
          <w:numId w:val="1"/>
        </w:numPr>
        <w:spacing w:after="100"/>
      </w:pPr>
      <w:r>
        <w:t xml:space="preserve">Docker : isolation et portabilité des services.</w:t>
      </w:r>
    </w:p>
    <w:p>
      <w:pPr>
        <w:pStyle w:val="ListParagraph"/>
        <w:numPr>
          <w:ilvl w:val="0"/>
          <w:numId w:val="1"/>
        </w:numPr>
        <w:spacing w:after="100"/>
      </w:pPr>
      <w:r>
        <w:t xml:space="preserve">Python : flexibilité pour les leurres dynamiques et le traitement des logs.</w:t>
      </w:r>
    </w:p>
    <w:p>
      <w:pPr>
        <w:pStyle w:val="ListParagraph"/>
        <w:numPr>
          <w:ilvl w:val="0"/>
          <w:numId w:val="1"/>
        </w:numPr>
        <w:spacing w:after="100"/>
      </w:pPr>
      <w:r>
        <w:t xml:space="preserve">ELK Stack : collecte, stockage et visualisation centralisée.</w:t>
      </w:r>
    </w:p>
    <w:p>
      <w:pPr>
        <w:pStyle w:val="ListParagraph"/>
        <w:numPr>
          <w:ilvl w:val="0"/>
          <w:numId w:val="1"/>
        </w:numPr>
        <w:spacing w:after="100"/>
      </w:pPr>
      <w:r>
        <w:t xml:space="preserve">MITRE ATT&amp;CK : cadre standardisé pour l'analyse et la classification.</w:t>
      </w:r>
    </w:p>
    <w:p>
      <w:pPr>
        <w:pStyle w:val="Heading3"/>
        <w:spacing w:after="120" w:before="240"/>
      </w:pPr>
      <w:r>
        <w:t xml:space="preserve">6.6 Tests pilotes</w:t>
      </w:r>
    </w:p>
    <w:p>
      <w:pPr>
        <w:spacing w:after="160"/>
      </w:pPr>
      <w:r>
        <w:t xml:space="preserve">Simulation d'attaques courantes (brute-force SSH, scans de ports) et observation des interactions avec les leurres dynamiques.</w:t>
      </w:r>
    </w:p>
    <w:p>
      <w:pPr>
        <w:pStyle w:val="Heading3"/>
        <w:spacing w:after="120" w:before="240"/>
      </w:pPr>
      <w:r>
        <w:t xml:space="preserve">6.7 Plan de déploiement et perspectives d'amélioration</w:t>
      </w:r>
    </w:p>
    <w:p>
      <w:pPr>
        <w:pStyle w:val="ListParagraph"/>
        <w:numPr>
          <w:ilvl w:val="0"/>
          <w:numId w:val="1"/>
        </w:numPr>
        <w:spacing w:after="100"/>
      </w:pPr>
      <w:r>
        <w:t xml:space="preserve">Déploiement initial sur un réseau de test universitaire isolé.</w:t>
      </w:r>
    </w:p>
    <w:p>
      <w:pPr>
        <w:pStyle w:val="ListParagraph"/>
        <w:numPr>
          <w:ilvl w:val="0"/>
          <w:numId w:val="1"/>
        </w:numPr>
        <w:spacing w:after="100"/>
      </w:pPr>
      <w:r>
        <w:t xml:space="preserve">Ajustement des leurres selon les comportements observés.</w:t>
      </w:r>
    </w:p>
    <w:p>
      <w:pPr>
        <w:pStyle w:val="ListParagraph"/>
        <w:numPr>
          <w:ilvl w:val="0"/>
          <w:numId w:val="1"/>
        </w:numPr>
        <w:spacing w:after="100"/>
      </w:pPr>
      <w:r>
        <w:t xml:space="preserve">Extension progressive à de nouveaux services ou scénarios.</w:t>
      </w:r>
    </w:p>
    <w:p>
      <w:pPr>
        <w:pStyle w:val="Heading1"/>
        <w:spacing w:after="200" w:before="400"/>
      </w:pPr>
      <w:r>
        <w:t xml:space="preserve">Chapitre 7 – Fonctionnement de la solution : point de vue technique</w:t>
      </w:r>
    </w:p>
    <w:p>
      <w:pPr>
        <w:pStyle w:val="Heading2"/>
        <w:spacing w:after="160" w:before="300"/>
      </w:pPr>
      <w:r>
        <w:t xml:space="preserve">7.1 Architecture technique du système</w:t>
      </w:r>
    </w:p>
    <w:p>
      <w:pPr>
        <w:spacing w:after="160"/>
      </w:pPr>
      <w:r>
        <w:t xml:space="preserve">Le honeypot repose sur une architecture modulaire, déployée sur une machine locale. Chaque conteneur émule un service spécifique du système d'information universitaire fictif — l'Université Nationale de Porto-Novo (UNPN, domaine unpn.edu.bj).</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000"/>
      </w:tblGrid>
      <w:tr>
        <w:tc>
          <w:tcPr>
            <w:tcW w:type="dxa" w:w="2200"/>
            <w:shd w:fill="D9E2D9" w:val="clear"/>
          </w:tcPr>
          <w:p>
            <w:r>
              <w:rPr>
                <w:b/>
                <w:bCs/>
              </w:rPr>
              <w:t xml:space="preserve">Composant</w:t>
            </w:r>
          </w:p>
        </w:tc>
        <w:tc>
          <w:tcPr>
            <w:tcW w:type="dxa" w:w="2200"/>
            <w:shd w:fill="D9E2D9" w:val="clear"/>
          </w:tcPr>
          <w:p>
            <w:r>
              <w:rPr>
                <w:b/>
                <w:bCs/>
              </w:rPr>
              <w:t xml:space="preserve">Technologie</w:t>
            </w:r>
          </w:p>
        </w:tc>
        <w:tc>
          <w:tcPr>
            <w:tcW w:type="dxa" w:w="1600"/>
            <w:shd w:fill="D9E2D9" w:val="clear"/>
          </w:tcPr>
          <w:p>
            <w:r>
              <w:rPr>
                <w:b/>
                <w:bCs/>
              </w:rPr>
              <w:t xml:space="preserve">Port exposé</w:t>
            </w:r>
          </w:p>
        </w:tc>
        <w:tc>
          <w:tcPr>
            <w:tcW w:type="dxa" w:w="3000"/>
            <w:shd w:fill="D9E2D9" w:val="clear"/>
          </w:tcPr>
          <w:p>
            <w:r>
              <w:rPr>
                <w:b/>
                <w:bCs/>
              </w:rPr>
              <w:t xml:space="preserve">Rôle dans le SI simulé</w:t>
            </w:r>
          </w:p>
        </w:tc>
      </w:tr>
      <w:tr>
        <w:tc>
          <w:tcPr>
            <w:tcW w:type="dxa" w:w="2200"/>
          </w:tcPr>
          <w:p>
            <w:r>
              <w:rPr>
                <w:b w:val="false"/>
                <w:bCs w:val="false"/>
              </w:rPr>
              <w:t xml:space="preserve">SSH Honeypot</w:t>
            </w:r>
          </w:p>
        </w:tc>
        <w:tc>
          <w:tcPr>
            <w:tcW w:type="dxa" w:w="2200"/>
          </w:tcPr>
          <w:p>
            <w:r>
              <w:rPr>
                <w:b w:val="false"/>
                <w:bCs w:val="false"/>
              </w:rPr>
              <w:t xml:space="preserve">Cowrie</w:t>
            </w:r>
          </w:p>
        </w:tc>
        <w:tc>
          <w:tcPr>
            <w:tcW w:type="dxa" w:w="1600"/>
          </w:tcPr>
          <w:p>
            <w:r>
              <w:rPr>
                <w:b w:val="false"/>
                <w:bCs w:val="false"/>
              </w:rPr>
              <w:t xml:space="preserve">2222</w:t>
            </w:r>
          </w:p>
        </w:tc>
        <w:tc>
          <w:tcPr>
            <w:tcW w:type="dxa" w:w="3000"/>
          </w:tcPr>
          <w:p>
            <w:r>
              <w:rPr>
                <w:b w:val="false"/>
                <w:bCs w:val="false"/>
              </w:rPr>
              <w:t xml:space="preserve">Accès distant administrateurs et enseignants</w:t>
            </w:r>
          </w:p>
        </w:tc>
      </w:tr>
      <w:tr>
        <w:tc>
          <w:tcPr>
            <w:tcW w:type="dxa" w:w="2200"/>
          </w:tcPr>
          <w:p>
            <w:r>
              <w:rPr>
                <w:b w:val="false"/>
                <w:bCs w:val="false"/>
              </w:rPr>
              <w:t xml:space="preserve">HTTP Honeypot</w:t>
            </w:r>
          </w:p>
        </w:tc>
        <w:tc>
          <w:tcPr>
            <w:tcW w:type="dxa" w:w="2200"/>
          </w:tcPr>
          <w:p>
            <w:r>
              <w:rPr>
                <w:b w:val="false"/>
                <w:bCs w:val="false"/>
              </w:rPr>
              <w:t xml:space="preserve">Glastopf (Python)</w:t>
            </w:r>
          </w:p>
        </w:tc>
        <w:tc>
          <w:tcPr>
            <w:tcW w:type="dxa" w:w="1600"/>
          </w:tcPr>
          <w:p>
            <w:r>
              <w:rPr>
                <w:b w:val="false"/>
                <w:bCs w:val="false"/>
              </w:rPr>
              <w:t xml:space="preserve">80 / 443</w:t>
            </w:r>
          </w:p>
        </w:tc>
        <w:tc>
          <w:tcPr>
            <w:tcW w:type="dxa" w:w="3000"/>
          </w:tcPr>
          <w:p>
            <w:r>
              <w:rPr>
                <w:b w:val="false"/>
                <w:bCs w:val="false"/>
              </w:rPr>
              <w:t xml:space="preserve">Portail étudiant, ENT simulé</w:t>
            </w:r>
          </w:p>
        </w:tc>
      </w:tr>
      <w:tr>
        <w:tc>
          <w:tcPr>
            <w:tcW w:type="dxa" w:w="2200"/>
          </w:tcPr>
          <w:p>
            <w:r>
              <w:rPr>
                <w:b w:val="false"/>
                <w:bCs w:val="false"/>
              </w:rPr>
              <w:t xml:space="preserve">FTP Honeypot</w:t>
            </w:r>
          </w:p>
        </w:tc>
        <w:tc>
          <w:tcPr>
            <w:tcW w:type="dxa" w:w="2200"/>
          </w:tcPr>
          <w:p>
            <w:r>
              <w:rPr>
                <w:b w:val="false"/>
                <w:bCs w:val="false"/>
              </w:rPr>
              <w:t xml:space="preserve">Dionaea</w:t>
            </w:r>
          </w:p>
        </w:tc>
        <w:tc>
          <w:tcPr>
            <w:tcW w:type="dxa" w:w="1600"/>
          </w:tcPr>
          <w:p>
            <w:r>
              <w:rPr>
                <w:b w:val="false"/>
                <w:bCs w:val="false"/>
              </w:rPr>
              <w:t xml:space="preserve">21</w:t>
            </w:r>
          </w:p>
        </w:tc>
        <w:tc>
          <w:tcPr>
            <w:tcW w:type="dxa" w:w="3000"/>
          </w:tcPr>
          <w:p>
            <w:r>
              <w:rPr>
                <w:b w:val="false"/>
                <w:bCs w:val="false"/>
              </w:rPr>
              <w:t xml:space="preserve">Dépôt de fichiers pédagogiques (conditionnel)</w:t>
            </w:r>
          </w:p>
        </w:tc>
      </w:tr>
      <w:tr>
        <w:tc>
          <w:tcPr>
            <w:tcW w:type="dxa" w:w="2200"/>
          </w:tcPr>
          <w:p>
            <w:r>
              <w:rPr>
                <w:b w:val="false"/>
                <w:bCs w:val="false"/>
              </w:rPr>
              <w:t xml:space="preserve">SMTP Honeypot</w:t>
            </w:r>
          </w:p>
        </w:tc>
        <w:tc>
          <w:tcPr>
            <w:tcW w:type="dxa" w:w="2200"/>
          </w:tcPr>
          <w:p>
            <w:r>
              <w:rPr>
                <w:b w:val="false"/>
                <w:bCs w:val="false"/>
              </w:rPr>
              <w:t xml:space="preserve">Mailoney</w:t>
            </w:r>
          </w:p>
        </w:tc>
        <w:tc>
          <w:tcPr>
            <w:tcW w:type="dxa" w:w="1600"/>
          </w:tcPr>
          <w:p>
            <w:r>
              <w:rPr>
                <w:b w:val="false"/>
                <w:bCs w:val="false"/>
              </w:rPr>
              <w:t xml:space="preserve">25</w:t>
            </w:r>
          </w:p>
        </w:tc>
        <w:tc>
          <w:tcPr>
            <w:tcW w:type="dxa" w:w="3000"/>
          </w:tcPr>
          <w:p>
            <w:r>
              <w:rPr>
                <w:b w:val="false"/>
                <w:bCs w:val="false"/>
              </w:rPr>
              <w:t xml:space="preserve">Messagerie institutionnelle (conditionnel)</w:t>
            </w:r>
          </w:p>
        </w:tc>
      </w:tr>
      <w:tr>
        <w:tc>
          <w:tcPr>
            <w:tcW w:type="dxa" w:w="2200"/>
          </w:tcPr>
          <w:p>
            <w:r>
              <w:rPr>
                <w:b w:val="false"/>
                <w:bCs w:val="false"/>
              </w:rPr>
              <w:t xml:space="preserve">Log Aggregator</w:t>
            </w:r>
          </w:p>
        </w:tc>
        <w:tc>
          <w:tcPr>
            <w:tcW w:type="dxa" w:w="2200"/>
          </w:tcPr>
          <w:p>
            <w:r>
              <w:rPr>
                <w:b w:val="false"/>
                <w:bCs w:val="false"/>
              </w:rPr>
              <w:t xml:space="preserve">Logstash</w:t>
            </w:r>
          </w:p>
        </w:tc>
        <w:tc>
          <w:tcPr>
            <w:tcW w:type="dxa" w:w="1600"/>
          </w:tcPr>
          <w:p>
            <w:r>
              <w:rPr>
                <w:b w:val="false"/>
                <w:bCs w:val="false"/>
              </w:rPr>
              <w:t xml:space="preserve">Interne</w:t>
            </w:r>
          </w:p>
        </w:tc>
        <w:tc>
          <w:tcPr>
            <w:tcW w:type="dxa" w:w="3000"/>
          </w:tcPr>
          <w:p>
            <w:r>
              <w:rPr>
                <w:b w:val="false"/>
                <w:bCs w:val="false"/>
              </w:rPr>
              <w:t xml:space="preserve">Centralisation et normalisation des logs</w:t>
            </w:r>
          </w:p>
        </w:tc>
      </w:tr>
      <w:tr>
        <w:tc>
          <w:tcPr>
            <w:tcW w:type="dxa" w:w="2200"/>
          </w:tcPr>
          <w:p>
            <w:r>
              <w:rPr>
                <w:b w:val="false"/>
                <w:bCs w:val="false"/>
              </w:rPr>
              <w:t xml:space="preserve">Stockage &amp; Index</w:t>
            </w:r>
          </w:p>
        </w:tc>
        <w:tc>
          <w:tcPr>
            <w:tcW w:type="dxa" w:w="2200"/>
          </w:tcPr>
          <w:p>
            <w:r>
              <w:rPr>
                <w:b w:val="false"/>
                <w:bCs w:val="false"/>
              </w:rPr>
              <w:t xml:space="preserve">Elasticsearch</w:t>
            </w:r>
          </w:p>
        </w:tc>
        <w:tc>
          <w:tcPr>
            <w:tcW w:type="dxa" w:w="1600"/>
          </w:tcPr>
          <w:p>
            <w:r>
              <w:rPr>
                <w:b w:val="false"/>
                <w:bCs w:val="false"/>
              </w:rPr>
              <w:t xml:space="preserve">9200</w:t>
            </w:r>
          </w:p>
        </w:tc>
        <w:tc>
          <w:tcPr>
            <w:tcW w:type="dxa" w:w="3000"/>
          </w:tcPr>
          <w:p>
            <w:r>
              <w:rPr>
                <w:b w:val="false"/>
                <w:bCs w:val="false"/>
              </w:rPr>
              <w:t xml:space="preserve">Indexation et requêtes analytiques</w:t>
            </w:r>
          </w:p>
        </w:tc>
      </w:tr>
      <w:tr>
        <w:tc>
          <w:tcPr>
            <w:tcW w:type="dxa" w:w="2200"/>
          </w:tcPr>
          <w:p>
            <w:r>
              <w:rPr>
                <w:b w:val="false"/>
                <w:bCs w:val="false"/>
              </w:rPr>
              <w:t xml:space="preserve">Dashboard</w:t>
            </w:r>
          </w:p>
        </w:tc>
        <w:tc>
          <w:tcPr>
            <w:tcW w:type="dxa" w:w="2200"/>
          </w:tcPr>
          <w:p>
            <w:r>
              <w:rPr>
                <w:b w:val="false"/>
                <w:bCs w:val="false"/>
              </w:rPr>
              <w:t xml:space="preserve">Kibana</w:t>
            </w:r>
          </w:p>
        </w:tc>
        <w:tc>
          <w:tcPr>
            <w:tcW w:type="dxa" w:w="1600"/>
          </w:tcPr>
          <w:p>
            <w:r>
              <w:rPr>
                <w:b w:val="false"/>
                <w:bCs w:val="false"/>
              </w:rPr>
              <w:t xml:space="preserve">5601</w:t>
            </w:r>
          </w:p>
        </w:tc>
        <w:tc>
          <w:tcPr>
            <w:tcW w:type="dxa" w:w="3000"/>
          </w:tcPr>
          <w:p>
            <w:r>
              <w:rPr>
                <w:b w:val="false"/>
                <w:bCs w:val="false"/>
              </w:rPr>
              <w:t xml:space="preserve">Visualisation des événements</w:t>
            </w:r>
          </w:p>
        </w:tc>
      </w:tr>
    </w:tbl>
    <w:p>
      <w:pPr>
        <w:spacing w:after="200"/>
      </w:pPr>
      <w:r>
        <w:rPr>
          <w:i/>
          <w:iCs/>
          <w:color w:val="808080"/>
          <w:sz w:val="20"/>
          <w:szCs w:val="20"/>
        </w:rPr>
        <w:t xml:space="preserve">Port SSH corrigé à 2222 (le port 22 est occupé par le SSH réel de la machine — écart identifié entre l'architecture documentée et l'état réel du déploiement, à traiter dans un futur passage sur ce chapitre, hors périmètre aujourd'hui).</w:t>
      </w:r>
    </w:p>
    <w:p>
      <w:pPr>
        <w:pStyle w:val="Heading2"/>
        <w:spacing w:after="160" w:before="300"/>
      </w:pPr>
      <w:r>
        <w:t xml:space="preserve">7.2 Interaction entre les acteurs et le système</w:t>
      </w:r>
    </w:p>
    <w:p>
      <w:pPr>
        <w:pStyle w:val="ListParagraph"/>
        <w:numPr>
          <w:ilvl w:val="0"/>
          <w:numId w:val="1"/>
        </w:numPr>
        <w:spacing w:after="100"/>
      </w:pPr>
      <w:r>
        <w:t xml:space="preserve">Simuler des services vulnérables.</w:t>
      </w:r>
    </w:p>
    <w:p>
      <w:pPr>
        <w:pStyle w:val="ListParagraph"/>
        <w:numPr>
          <w:ilvl w:val="0"/>
          <w:numId w:val="1"/>
        </w:numPr>
        <w:spacing w:after="100"/>
      </w:pPr>
      <w:r>
        <w:t xml:space="preserve">Attirer les attaquants via des leurres dynamiques adaptés au cycle de vie universitaire.</w:t>
      </w:r>
    </w:p>
    <w:p>
      <w:pPr>
        <w:pStyle w:val="ListParagraph"/>
        <w:numPr>
          <w:ilvl w:val="0"/>
          <w:numId w:val="1"/>
        </w:numPr>
        <w:spacing w:after="100"/>
      </w:pPr>
      <w:r>
        <w:t xml:space="preserve">Enregistrer les interactions.</w:t>
      </w:r>
    </w:p>
    <w:p>
      <w:pPr>
        <w:pStyle w:val="ListParagraph"/>
        <w:numPr>
          <w:ilvl w:val="0"/>
          <w:numId w:val="1"/>
        </w:numPr>
        <w:spacing w:after="100"/>
      </w:pPr>
      <w:r>
        <w:t xml:space="preserve">Analyser les attaques via le mapping MITRE ATT&amp;CK.</w:t>
      </w:r>
    </w:p>
    <w:p>
      <w:pPr>
        <w:pStyle w:val="Heading2"/>
        <w:spacing w:after="160" w:before="300"/>
      </w:pPr>
      <w:r>
        <w:t xml:space="preserve">7.3 Simulation multi-services et cohérence universitaire</w:t>
      </w:r>
    </w:p>
    <w:p>
      <w:pPr>
        <w:pStyle w:val="ListParagraph"/>
        <w:numPr>
          <w:ilvl w:val="0"/>
          <w:numId w:val="1"/>
        </w:numPr>
        <w:spacing w:after="100"/>
      </w:pPr>
      <w:r>
        <w:t xml:space="preserve">Cohérence fonctionnelle : le service doit exister et avoir une utilité justifiable dans un SI universitaire réel.</w:t>
      </w:r>
    </w:p>
    <w:p>
      <w:pPr>
        <w:pStyle w:val="ListParagraph"/>
        <w:numPr>
          <w:ilvl w:val="0"/>
          <w:numId w:val="1"/>
        </w:numPr>
        <w:spacing w:after="100"/>
      </w:pPr>
      <w:r>
        <w:t xml:space="preserve">Cohérence technique : la version logicielle émulée doit correspondre à ce qu'un attaquant s'attendrait à trouver.</w:t>
      </w:r>
    </w:p>
    <w:p>
      <w:pPr>
        <w:pStyle w:val="ListParagraph"/>
        <w:numPr>
          <w:ilvl w:val="0"/>
          <w:numId w:val="1"/>
        </w:numPr>
        <w:spacing w:after="100"/>
      </w:pPr>
      <w:r>
        <w:t xml:space="preserve">Cohérence des référentiels : identifiants, noms de fichiers et messages système cohérents avec l'établissement fictif.</w:t>
      </w:r>
    </w:p>
    <w:p>
      <w:pPr>
        <w:pStyle w:val="Heading2"/>
        <w:spacing w:after="160" w:before="300"/>
      </w:pPr>
      <w:r>
        <w:t xml:space="preserve">7.4 Structure logicielle du système</w:t>
      </w:r>
    </w:p>
    <w:p>
      <w:pPr>
        <w:pStyle w:val="ListParagraph"/>
        <w:numPr>
          <w:ilvl w:val="0"/>
          <w:numId w:val="1"/>
        </w:numPr>
        <w:spacing w:after="100"/>
      </w:pPr>
      <w:r>
        <w:t xml:space="preserve">HoneypotController : orchestre le cycle de vie complet du système.</w:t>
      </w:r>
    </w:p>
    <w:p>
      <w:pPr>
        <w:pStyle w:val="ListParagraph"/>
        <w:numPr>
          <w:ilvl w:val="0"/>
          <w:numId w:val="1"/>
        </w:numPr>
        <w:spacing w:after="100"/>
      </w:pPr>
      <w:r>
        <w:t xml:space="preserve">ServiceSimulator : émulation des services réseau et génération des leurres.</w:t>
      </w:r>
    </w:p>
    <w:p>
      <w:pPr>
        <w:pStyle w:val="ListParagraph"/>
        <w:numPr>
          <w:ilvl w:val="0"/>
          <w:numId w:val="1"/>
        </w:numPr>
        <w:spacing w:after="100"/>
      </w:pPr>
      <w:r>
        <w:t xml:space="preserve">AttackLogger : journalisation exhaustive et horodatée en JSON normalisé.</w:t>
      </w:r>
    </w:p>
    <w:p>
      <w:pPr>
        <w:pStyle w:val="ListParagraph"/>
        <w:numPr>
          <w:ilvl w:val="0"/>
          <w:numId w:val="1"/>
        </w:numPr>
        <w:spacing w:after="100"/>
      </w:pPr>
      <w:r>
        <w:t xml:space="preserve">AttackAnalyzer : traitement analytique des logs et mapping MITRE ATT&amp;CK.</w:t>
      </w:r>
    </w:p>
    <w:p>
      <w:pPr>
        <w:pStyle w:val="Heading2"/>
        <w:spacing w:after="160" w:before="300"/>
      </w:pPr>
      <w:r>
        <w:t xml:space="preserve">7.5 Mécanisme de leurres dynamiques</w:t>
      </w:r>
    </w:p>
    <w:p>
      <w:pPr>
        <w:pStyle w:val="Heading3"/>
        <w:spacing w:after="120" w:before="240"/>
      </w:pPr>
      <w:r>
        <w:t xml:space="preserve">7.5.1 Dynamisme calendaire (Type A)</w:t>
      </w:r>
    </w:p>
    <w:p>
      <w:pPr>
        <w:spacing w:after="160"/>
      </w:pPr>
      <w:r>
        <w:t xml:space="preserve">Des scripts Python automatisés déclenchent des modifications périodiques de l'environnement, calquées sur le calendrier académique réel.</w:t>
      </w:r>
    </w:p>
    <w:p>
      <w:pPr>
        <w:pStyle w:val="Heading3"/>
        <w:spacing w:after="120" w:before="240"/>
      </w:pPr>
      <w:r>
        <w:t xml:space="preserve">7.5.2 Dynamisme réactif (Type B)</w:t>
      </w:r>
    </w:p>
    <w:p>
      <w:pPr>
        <w:spacing w:after="160"/>
      </w:pPr>
      <w:r>
        <w:t xml:space="preserve">Le honeypot ajuste ses leurres en temps réel en réponse aux actions de l'attaquant, via des hooks Python intégrés.</w:t>
      </w:r>
    </w:p>
    <w:p>
      <w:pPr>
        <w:pStyle w:val="Heading2"/>
        <w:spacing w:after="160" w:before="300"/>
      </w:pPr>
      <w:r>
        <w:t xml:space="preserve">7.6 Pipeline de collecte et d'analyse</w:t>
      </w:r>
    </w:p>
    <w:p>
      <w:pPr>
        <w:pStyle w:val="ListParagraph"/>
        <w:numPr>
          <w:ilvl w:val="0"/>
          <w:numId w:val="1"/>
        </w:numPr>
        <w:spacing w:after="100"/>
      </w:pPr>
      <w:r>
        <w:t xml:space="preserve">Collecte brute : logs structurés en JSON, horodatés.</w:t>
      </w:r>
    </w:p>
    <w:p>
      <w:pPr>
        <w:pStyle w:val="ListParagraph"/>
        <w:numPr>
          <w:ilvl w:val="0"/>
          <w:numId w:val="1"/>
        </w:numPr>
        <w:spacing w:after="100"/>
      </w:pPr>
      <w:r>
        <w:t xml:space="preserve">Normalisation (Logstash) : enrichissement et conformité au schéma ECS.</w:t>
      </w:r>
    </w:p>
    <w:p>
      <w:pPr>
        <w:pStyle w:val="ListParagraph"/>
        <w:numPr>
          <w:ilvl w:val="0"/>
          <w:numId w:val="1"/>
        </w:numPr>
        <w:spacing w:after="100"/>
      </w:pPr>
      <w:r>
        <w:t xml:space="preserve">Indexation et visualisation (Elasticsearch / Kibana).</w:t>
      </w:r>
    </w:p>
    <w:p>
      <w:pPr>
        <w:pStyle w:val="Heading2"/>
        <w:spacing w:after="160" w:before="300"/>
      </w:pPr>
      <w:r>
        <w:t xml:space="preserve">7.7 Analyse et classification des attaques via MITRE ATT&amp;CK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3200"/>
        <w:gridCol w:w="1200"/>
      </w:tblGrid>
      <w:tr>
        <w:tc>
          <w:tcPr>
            <w:tcW w:type="dxa" w:w="2600"/>
            <w:shd w:fill="D9E2D9" w:val="clear"/>
          </w:tcPr>
          <w:p>
            <w:r>
              <w:rPr>
                <w:b/>
                <w:bCs/>
              </w:rPr>
              <w:t xml:space="preserve">Action observée</w:t>
            </w:r>
          </w:p>
        </w:tc>
        <w:tc>
          <w:tcPr>
            <w:tcW w:type="dxa" w:w="2000"/>
            <w:shd w:fill="D9E2D9" w:val="clear"/>
          </w:tcPr>
          <w:p>
            <w:r>
              <w:rPr>
                <w:b/>
                <w:bCs/>
              </w:rPr>
              <w:t xml:space="preserve">Tactique MITRE</w:t>
            </w:r>
          </w:p>
        </w:tc>
        <w:tc>
          <w:tcPr>
            <w:tcW w:type="dxa" w:w="3200"/>
            <w:shd w:fill="D9E2D9" w:val="clear"/>
          </w:tcPr>
          <w:p>
            <w:r>
              <w:rPr>
                <w:b/>
                <w:bCs/>
              </w:rPr>
              <w:t xml:space="preserve">Technique</w:t>
            </w:r>
          </w:p>
        </w:tc>
        <w:tc>
          <w:tcPr>
            <w:tcW w:type="dxa" w:w="1200"/>
            <w:shd w:fill="D9E2D9" w:val="clear"/>
          </w:tcPr>
          <w:p>
            <w:r>
              <w:rPr>
                <w:b/>
                <w:bCs/>
              </w:rPr>
              <w:t xml:space="preserve">ID</w:t>
            </w:r>
          </w:p>
        </w:tc>
      </w:tr>
      <w:tr>
        <w:tc>
          <w:tcPr>
            <w:tcW w:type="dxa" w:w="2600"/>
          </w:tcPr>
          <w:p>
            <w:r>
              <w:rPr>
                <w:b w:val="false"/>
                <w:bCs w:val="false"/>
              </w:rPr>
              <w:t xml:space="preserve">Attaque dictionnaire SSH</w:t>
            </w:r>
          </w:p>
        </w:tc>
        <w:tc>
          <w:tcPr>
            <w:tcW w:type="dxa" w:w="2000"/>
          </w:tcPr>
          <w:p>
            <w:r>
              <w:rPr>
                <w:b w:val="false"/>
                <w:bCs w:val="false"/>
              </w:rPr>
              <w:t xml:space="preserve">Initial Access</w:t>
            </w:r>
          </w:p>
        </w:tc>
        <w:tc>
          <w:tcPr>
            <w:tcW w:type="dxa" w:w="3200"/>
          </w:tcPr>
          <w:p>
            <w:r>
              <w:rPr>
                <w:b w:val="false"/>
                <w:bCs w:val="false"/>
              </w:rPr>
              <w:t xml:space="preserve">Brute Force</w:t>
            </w:r>
          </w:p>
        </w:tc>
        <w:tc>
          <w:tcPr>
            <w:tcW w:type="dxa" w:w="1200"/>
          </w:tcPr>
          <w:p>
            <w:r>
              <w:rPr>
                <w:b w:val="false"/>
                <w:bCs w:val="false"/>
              </w:rPr>
              <w:t xml:space="preserve">T1110</w:t>
            </w:r>
          </w:p>
        </w:tc>
      </w:tr>
      <w:tr>
        <w:tc>
          <w:tcPr>
            <w:tcW w:type="dxa" w:w="2600"/>
          </w:tcPr>
          <w:p>
            <w:r>
              <w:rPr>
                <w:b w:val="false"/>
                <w:bCs w:val="false"/>
              </w:rPr>
              <w:t xml:space="preserve">Commandes uname, id, whoami</w:t>
            </w:r>
          </w:p>
        </w:tc>
        <w:tc>
          <w:tcPr>
            <w:tcW w:type="dxa" w:w="2000"/>
          </w:tcPr>
          <w:p>
            <w:r>
              <w:rPr>
                <w:b w:val="false"/>
                <w:bCs w:val="false"/>
              </w:rPr>
              <w:t xml:space="preserve">Discovery</w:t>
            </w:r>
          </w:p>
        </w:tc>
        <w:tc>
          <w:tcPr>
            <w:tcW w:type="dxa" w:w="3200"/>
          </w:tcPr>
          <w:p>
            <w:r>
              <w:rPr>
                <w:b w:val="false"/>
                <w:bCs w:val="false"/>
              </w:rPr>
              <w:t xml:space="preserve">System Information Discovery</w:t>
            </w:r>
          </w:p>
        </w:tc>
        <w:tc>
          <w:tcPr>
            <w:tcW w:type="dxa" w:w="1200"/>
          </w:tcPr>
          <w:p>
            <w:r>
              <w:rPr>
                <w:b w:val="false"/>
                <w:bCs w:val="false"/>
              </w:rPr>
              <w:t xml:space="preserve">T1082</w:t>
            </w:r>
          </w:p>
        </w:tc>
      </w:tr>
      <w:tr>
        <w:tc>
          <w:tcPr>
            <w:tcW w:type="dxa" w:w="2600"/>
          </w:tcPr>
          <w:p>
            <w:r>
              <w:rPr>
                <w:b w:val="false"/>
                <w:bCs w:val="false"/>
              </w:rPr>
              <w:t xml:space="preserve">ls -la, find / -name *.conf</w:t>
            </w:r>
          </w:p>
        </w:tc>
        <w:tc>
          <w:tcPr>
            <w:tcW w:type="dxa" w:w="2000"/>
          </w:tcPr>
          <w:p>
            <w:r>
              <w:rPr>
                <w:b w:val="false"/>
                <w:bCs w:val="false"/>
              </w:rPr>
              <w:t xml:space="preserve">Discovery</w:t>
            </w:r>
          </w:p>
        </w:tc>
        <w:tc>
          <w:tcPr>
            <w:tcW w:type="dxa" w:w="3200"/>
          </w:tcPr>
          <w:p>
            <w:r>
              <w:rPr>
                <w:b w:val="false"/>
                <w:bCs w:val="false"/>
              </w:rPr>
              <w:t xml:space="preserve">File and Directory Discovery</w:t>
            </w:r>
          </w:p>
        </w:tc>
        <w:tc>
          <w:tcPr>
            <w:tcW w:type="dxa" w:w="1200"/>
          </w:tcPr>
          <w:p>
            <w:r>
              <w:rPr>
                <w:b w:val="false"/>
                <w:bCs w:val="false"/>
              </w:rPr>
              <w:t xml:space="preserve">T1083</w:t>
            </w:r>
          </w:p>
        </w:tc>
      </w:tr>
      <w:tr>
        <w:tc>
          <w:tcPr>
            <w:tcW w:type="dxa" w:w="2600"/>
          </w:tcPr>
          <w:p>
            <w:r>
              <w:rPr>
                <w:b w:val="false"/>
                <w:bCs w:val="false"/>
              </w:rPr>
              <w:t xml:space="preserve">Modification .bashrc / crontab</w:t>
            </w:r>
          </w:p>
        </w:tc>
        <w:tc>
          <w:tcPr>
            <w:tcW w:type="dxa" w:w="2000"/>
          </w:tcPr>
          <w:p>
            <w:r>
              <w:rPr>
                <w:b w:val="false"/>
                <w:bCs w:val="false"/>
              </w:rPr>
              <w:t xml:space="preserve">Persistence</w:t>
            </w:r>
          </w:p>
        </w:tc>
        <w:tc>
          <w:tcPr>
            <w:tcW w:type="dxa" w:w="3200"/>
          </w:tcPr>
          <w:p>
            <w:r>
              <w:rPr>
                <w:b w:val="false"/>
                <w:bCs w:val="false"/>
              </w:rPr>
              <w:t xml:space="preserve">Event Triggered Execution</w:t>
            </w:r>
          </w:p>
        </w:tc>
        <w:tc>
          <w:tcPr>
            <w:tcW w:type="dxa" w:w="1200"/>
          </w:tcPr>
          <w:p>
            <w:r>
              <w:rPr>
                <w:b w:val="false"/>
                <w:bCs w:val="false"/>
              </w:rPr>
              <w:t xml:space="preserve">T1546</w:t>
            </w:r>
          </w:p>
        </w:tc>
      </w:tr>
      <w:tr>
        <w:tc>
          <w:tcPr>
            <w:tcW w:type="dxa" w:w="2600"/>
          </w:tcPr>
          <w:p>
            <w:r>
              <w:rPr>
                <w:b w:val="false"/>
                <w:bCs w:val="false"/>
              </w:rPr>
              <w:t xml:space="preserve">sudo su, tentative SUID</w:t>
            </w:r>
          </w:p>
        </w:tc>
        <w:tc>
          <w:tcPr>
            <w:tcW w:type="dxa" w:w="2000"/>
          </w:tcPr>
          <w:p>
            <w:r>
              <w:rPr>
                <w:b w:val="false"/>
                <w:bCs w:val="false"/>
              </w:rPr>
              <w:t xml:space="preserve">Privilege Escalation</w:t>
            </w:r>
          </w:p>
        </w:tc>
        <w:tc>
          <w:tcPr>
            <w:tcW w:type="dxa" w:w="3200"/>
          </w:tcPr>
          <w:p>
            <w:r>
              <w:rPr>
                <w:b w:val="false"/>
                <w:bCs w:val="false"/>
              </w:rPr>
              <w:t xml:space="preserve">Abuse Elevation Control Mech.</w:t>
            </w:r>
          </w:p>
        </w:tc>
        <w:tc>
          <w:tcPr>
            <w:tcW w:type="dxa" w:w="1200"/>
          </w:tcPr>
          <w:p>
            <w:r>
              <w:rPr>
                <w:b w:val="false"/>
                <w:bCs w:val="false"/>
              </w:rPr>
              <w:t xml:space="preserve">T1548</w:t>
            </w:r>
          </w:p>
        </w:tc>
      </w:tr>
      <w:tr>
        <w:tc>
          <w:tcPr>
            <w:tcW w:type="dxa" w:w="2600"/>
          </w:tcPr>
          <w:p>
            <w:r>
              <w:rPr>
                <w:b w:val="false"/>
                <w:bCs w:val="false"/>
              </w:rPr>
              <w:t xml:space="preserve">rm -rf .bash_history</w:t>
            </w:r>
          </w:p>
        </w:tc>
        <w:tc>
          <w:tcPr>
            <w:tcW w:type="dxa" w:w="2000"/>
          </w:tcPr>
          <w:p>
            <w:r>
              <w:rPr>
                <w:b w:val="false"/>
                <w:bCs w:val="false"/>
              </w:rPr>
              <w:t xml:space="preserve">Defense Evasion</w:t>
            </w:r>
          </w:p>
        </w:tc>
        <w:tc>
          <w:tcPr>
            <w:tcW w:type="dxa" w:w="3200"/>
          </w:tcPr>
          <w:p>
            <w:r>
              <w:rPr>
                <w:b w:val="false"/>
                <w:bCs w:val="false"/>
              </w:rPr>
              <w:t xml:space="preserve">Indicator Removal</w:t>
            </w:r>
          </w:p>
        </w:tc>
        <w:tc>
          <w:tcPr>
            <w:tcW w:type="dxa" w:w="1200"/>
          </w:tcPr>
          <w:p>
            <w:r>
              <w:rPr>
                <w:b w:val="false"/>
                <w:bCs w:val="false"/>
              </w:rPr>
              <w:t xml:space="preserve">T1070</w:t>
            </w:r>
          </w:p>
        </w:tc>
      </w:tr>
      <w:tr>
        <w:tc>
          <w:tcPr>
            <w:tcW w:type="dxa" w:w="2600"/>
          </w:tcPr>
          <w:p>
            <w:r>
              <w:rPr>
                <w:b w:val="false"/>
                <w:bCs w:val="false"/>
              </w:rPr>
              <w:t xml:space="preserve">Tentative SCP vers IP externe</w:t>
            </w:r>
          </w:p>
        </w:tc>
        <w:tc>
          <w:tcPr>
            <w:tcW w:type="dxa" w:w="2000"/>
          </w:tcPr>
          <w:p>
            <w:r>
              <w:rPr>
                <w:b w:val="false"/>
                <w:bCs w:val="false"/>
              </w:rPr>
              <w:t xml:space="preserve">Exfiltration</w:t>
            </w:r>
          </w:p>
        </w:tc>
        <w:tc>
          <w:tcPr>
            <w:tcW w:type="dxa" w:w="3200"/>
          </w:tcPr>
          <w:p>
            <w:r>
              <w:rPr>
                <w:b w:val="false"/>
                <w:bCs w:val="false"/>
              </w:rPr>
              <w:t xml:space="preserve">Exfiltration Over C2 Channel</w:t>
            </w:r>
          </w:p>
        </w:tc>
        <w:tc>
          <w:tcPr>
            <w:tcW w:type="dxa" w:w="1200"/>
          </w:tcPr>
          <w:p>
            <w:r>
              <w:rPr>
                <w:b w:val="false"/>
                <w:bCs w:val="false"/>
              </w:rPr>
              <w:t xml:space="preserve">T1041</w:t>
            </w:r>
          </w:p>
        </w:tc>
      </w:tr>
    </w:tbl>
    <w:p>
      <w:pPr>
        <w:pStyle w:val="Heading2"/>
        <w:spacing w:after="160" w:before="300"/>
      </w:pPr>
      <w:r>
        <w:t xml:space="preserve">7.8 Sécurisation et isolation du dispositif</w:t>
      </w:r>
    </w:p>
    <w:p>
      <w:pPr>
        <w:pStyle w:val="ListParagraph"/>
        <w:numPr>
          <w:ilvl w:val="0"/>
          <w:numId w:val="1"/>
        </w:numPr>
        <w:spacing w:after="100"/>
      </w:pPr>
      <w:r>
        <w:t xml:space="preserve">Réseau isolé (bridge dédié) : aucune communication directe avec le réseau hôte réel.</w:t>
      </w:r>
    </w:p>
    <w:p>
      <w:pPr>
        <w:pStyle w:val="ListParagraph"/>
        <w:numPr>
          <w:ilvl w:val="0"/>
          <w:numId w:val="1"/>
        </w:numPr>
        <w:spacing w:after="100"/>
      </w:pPr>
      <w:r>
        <w:t xml:space="preserve">Règles firewall restrictives : trafic sortant bloqué par défaut.</w:t>
      </w:r>
    </w:p>
    <w:p>
      <w:pPr>
        <w:pStyle w:val="ListParagraph"/>
        <w:numPr>
          <w:ilvl w:val="0"/>
          <w:numId w:val="1"/>
        </w:numPr>
        <w:spacing w:after="100"/>
      </w:pPr>
      <w:r>
        <w:t xml:space="preserve">Snapshots périodiques des conteneurs.</w:t>
      </w:r>
    </w:p>
    <w:p>
      <w:pPr>
        <w:pStyle w:val="ListParagraph"/>
        <w:numPr>
          <w:ilvl w:val="0"/>
          <w:numId w:val="1"/>
        </w:numPr>
        <w:spacing w:after="100"/>
      </w:pPr>
      <w:r>
        <w:t xml:space="preserve">Supervision de l'utilisation des ressources.</w:t>
      </w:r>
    </w:p>
    <w:p>
      <w:pPr>
        <w:pStyle w:val="ListParagraph"/>
        <w:numPr>
          <w:ilvl w:val="0"/>
          <w:numId w:val="1"/>
        </w:numPr>
        <w:spacing w:after="100"/>
      </w:pPr>
      <w:r>
        <w:t xml:space="preserve">Journalisation des actions administrateur.</w:t>
      </w:r>
    </w:p>
    <w:p>
      <w:pPr>
        <w:pStyle w:val="Heading1"/>
        <w:spacing w:after="200" w:before="400"/>
      </w:pPr>
      <w:r>
        <w:t xml:space="preserve">Chapitre 8 – Démonstration par prototype et résultats expérimentaux</w:t>
      </w:r>
    </w:p>
    <w:p>
      <w:pPr>
        <w:spacing w:after="200"/>
      </w:pPr>
      <w:r>
        <w:rPr>
          <w:i/>
          <w:iCs/>
          <w:color w:val="808080"/>
          <w:sz w:val="20"/>
          <w:szCs w:val="20"/>
        </w:rPr>
        <w:t xml:space="preserve">ALERTE INTÉGRITÉ ACADÉMIQUE — NON RÉSOLUE : ce chapitre décrivait, dans une version antérieure, une exposition de 21 jours avec 14 327 événements, 873 IP et une validation des trois hypothèses. Aucune preuve d'exécution (commande, capture, log réel) n'a été transmise à ce jour. Conformément à la méthodologie « preuve d'abord » (Instruction 2/3), ces chiffres sont retirés de ce chapitre tant qu'ils ne sont pas remplacés par des données réellement observées. Ce chapitre reste donc un gabarit vide à compléter — aucune donnée fictive n'y est réinjectée.</w:t>
      </w:r>
    </w:p>
    <w:p>
      <w:pPr>
        <w:pStyle w:val="Heading2"/>
        <w:spacing w:after="160" w:before="300"/>
      </w:pPr>
      <w:r>
        <w:t xml:space="preserve">8.1 Environnement et protocole expérimental</w:t>
      </w:r>
    </w:p>
    <w:p>
      <w:pPr>
        <w:spacing w:after="200"/>
      </w:pPr>
      <w:r>
        <w:rPr>
          <w:i/>
          <w:iCs/>
          <w:color w:val="808080"/>
          <w:sz w:val="20"/>
          <w:szCs w:val="20"/>
        </w:rPr>
        <w:t xml:space="preserve">À compléter avec les données réelles (infrastructure, services effectivement déployés, durée d'exposition réelle documentée à 2-4 jours selon décision actée).</w:t>
      </w:r>
    </w:p>
    <w:p>
      <w:pPr>
        <w:pStyle w:val="Heading2"/>
        <w:spacing w:after="160" w:before="300"/>
      </w:pPr>
      <w:r>
        <w:t xml:space="preserve">8.2 Vue d'ensemble des interactions collectées</w:t>
      </w:r>
    </w:p>
    <w:p>
      <w:pPr>
        <w:spacing w:after="200"/>
      </w:pPr>
      <w:r>
        <w:rPr>
          <w:i/>
          <w:iCs/>
          <w:color w:val="808080"/>
          <w:sz w:val="20"/>
          <w:szCs w:val="20"/>
        </w:rPr>
        <w:t xml:space="preserve">Tableau à renseigner uniquement à partir de logs réellement produits.</w:t>
      </w:r>
    </w:p>
    <w:p>
      <w:pPr>
        <w:pStyle w:val="Heading2"/>
        <w:spacing w:after="160" w:before="300"/>
      </w:pPr>
      <w:r>
        <w:t xml:space="preserve">8.3 Mapping MITRE ATT&amp;CK des comportements observés</w:t>
      </w:r>
    </w:p>
    <w:p>
      <w:pPr>
        <w:spacing w:after="200"/>
      </w:pPr>
      <w:r>
        <w:rPr>
          <w:i/>
          <w:iCs/>
          <w:color w:val="808080"/>
          <w:sz w:val="20"/>
          <w:szCs w:val="20"/>
        </w:rPr>
        <w:t xml:space="preserve">À renseigner uniquement à partir d'événements réellement journalisés.</w:t>
      </w:r>
    </w:p>
    <w:p>
      <w:pPr>
        <w:pStyle w:val="Heading2"/>
        <w:spacing w:after="160" w:before="300"/>
      </w:pPr>
      <w:r>
        <w:t xml:space="preserve">8.4 Profil typique d'un attaquant ciblant l'UNPN</w:t>
      </w:r>
    </w:p>
    <w:p>
      <w:pPr>
        <w:spacing w:after="200"/>
      </w:pPr>
      <w:r>
        <w:rPr>
          <w:i/>
          <w:iCs/>
          <w:color w:val="808080"/>
          <w:sz w:val="20"/>
          <w:szCs w:val="20"/>
        </w:rPr>
        <w:t xml:space="preserve">À rédiger uniquement si le volume de sessions réelles observées le permet.</w:t>
      </w:r>
    </w:p>
    <w:p>
      <w:pPr>
        <w:pStyle w:val="Heading2"/>
        <w:spacing w:after="160" w:before="300"/>
      </w:pPr>
      <w:r>
        <w:t xml:space="preserve">8.5 Validation des hypothèses</w:t>
      </w:r>
    </w:p>
    <w:p>
      <w:pPr>
        <w:spacing w:after="200"/>
      </w:pPr>
      <w:r>
        <w:rPr>
          <w:i/>
          <w:iCs/>
          <w:color w:val="808080"/>
          <w:sz w:val="20"/>
          <w:szCs w:val="20"/>
        </w:rPr>
        <w:t xml:space="preserve">À statuer (Validée / Non validée / Partiellement validée) uniquement sur la base des résultats réellement obtenus.</w:t>
      </w:r>
    </w:p>
    <w:p>
      <w:pPr>
        <w:pStyle w:val="Heading1"/>
        <w:spacing w:after="200" w:before="400"/>
      </w:pPr>
      <w:r>
        <w:t xml:space="preserve">Chapitre 9 – Prévisions financières et étude de viabilité</w:t>
      </w:r>
    </w:p>
    <w:p>
      <w:pPr>
        <w:pStyle w:val="Heading2"/>
        <w:spacing w:after="160" w:before="300"/>
      </w:pPr>
      <w:r>
        <w:t xml:space="preserve">9.1 Coûts de mise en place initiale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1600"/>
      </w:tblGrid>
      <w:tr>
        <w:tc>
          <w:tcPr>
            <w:tcW w:type="dxa" w:w="2600"/>
            <w:shd w:fill="D9E2D9" w:val="clear"/>
          </w:tcPr>
          <w:p>
            <w:r>
              <w:rPr>
                <w:b/>
                <w:bCs/>
              </w:rPr>
              <w:t xml:space="preserve">Poste</w:t>
            </w:r>
          </w:p>
        </w:tc>
        <w:tc>
          <w:tcPr>
            <w:tcW w:type="dxa" w:w="4800"/>
            <w:shd w:fill="D9E2D9" w:val="clear"/>
          </w:tcPr>
          <w:p>
            <w:r>
              <w:rPr>
                <w:b/>
                <w:bCs/>
              </w:rPr>
              <w:t xml:space="preserve">Description</w:t>
            </w:r>
          </w:p>
        </w:tc>
        <w:tc>
          <w:tcPr>
            <w:tcW w:type="dxa" w:w="1600"/>
            <w:shd w:fill="D9E2D9" w:val="clear"/>
          </w:tcPr>
          <w:p>
            <w:r>
              <w:rPr>
                <w:b/>
                <w:bCs/>
              </w:rPr>
              <w:t xml:space="preserve">Coût estimé (FCFA)</w:t>
            </w:r>
          </w:p>
        </w:tc>
      </w:tr>
      <w:tr>
        <w:tc>
          <w:tcPr>
            <w:tcW w:type="dxa" w:w="2600"/>
          </w:tcPr>
          <w:p>
            <w:r>
              <w:rPr>
                <w:b w:val="false"/>
                <w:bCs w:val="false"/>
              </w:rPr>
              <w:t xml:space="preserve">Infrastructure matérielle</w:t>
            </w:r>
          </w:p>
        </w:tc>
        <w:tc>
          <w:tcPr>
            <w:tcW w:type="dxa" w:w="4800"/>
          </w:tcPr>
          <w:p>
            <w:r>
              <w:rPr>
                <w:b w:val="false"/>
                <w:bCs w:val="false"/>
              </w:rPr>
              <w:t xml:space="preserve">Serveur ou machine locale dédiée (réutilisation possible)</w:t>
            </w:r>
          </w:p>
        </w:tc>
        <w:tc>
          <w:tcPr>
            <w:tcW w:type="dxa" w:w="1600"/>
          </w:tcPr>
          <w:p>
            <w:r>
              <w:rPr>
                <w:b w:val="false"/>
                <w:bCs w:val="false"/>
              </w:rPr>
              <w:t xml:space="preserve">0 – 250 000</w:t>
            </w:r>
          </w:p>
        </w:tc>
      </w:tr>
      <w:tr>
        <w:tc>
          <w:tcPr>
            <w:tcW w:type="dxa" w:w="2600"/>
          </w:tcPr>
          <w:p>
            <w:r>
              <w:rPr>
                <w:b w:val="false"/>
                <w:bCs w:val="false"/>
              </w:rPr>
              <w:t xml:space="preserve">Licences logicielles</w:t>
            </w:r>
          </w:p>
        </w:tc>
        <w:tc>
          <w:tcPr>
            <w:tcW w:type="dxa" w:w="4800"/>
          </w:tcPr>
          <w:p>
            <w:r>
              <w:rPr>
                <w:b w:val="false"/>
                <w:bCs w:val="false"/>
              </w:rPr>
              <w:t xml:space="preserve">Toutes les technologies retenues sont open source</w:t>
            </w:r>
          </w:p>
        </w:tc>
        <w:tc>
          <w:tcPr>
            <w:tcW w:type="dxa" w:w="1600"/>
          </w:tcPr>
          <w:p>
            <w:r>
              <w:rPr>
                <w:b w:val="false"/>
                <w:bCs w:val="false"/>
              </w:rPr>
              <w:t xml:space="preserve">0</w:t>
            </w:r>
          </w:p>
        </w:tc>
      </w:tr>
      <w:tr>
        <w:tc>
          <w:tcPr>
            <w:tcW w:type="dxa" w:w="2600"/>
          </w:tcPr>
          <w:p>
            <w:r>
              <w:rPr>
                <w:b w:val="false"/>
                <w:bCs w:val="false"/>
              </w:rPr>
              <w:t xml:space="preserve">Formation de l'équipe SI</w:t>
            </w:r>
          </w:p>
        </w:tc>
        <w:tc>
          <w:tcPr>
            <w:tcW w:type="dxa" w:w="4800"/>
          </w:tcPr>
          <w:p>
            <w:r>
              <w:rPr>
                <w:b w:val="false"/>
                <w:bCs w:val="false"/>
              </w:rPr>
              <w:t xml:space="preserve">Prise en main Kibana, lecture des rapports MITRE</w:t>
            </w:r>
          </w:p>
        </w:tc>
        <w:tc>
          <w:tcPr>
            <w:tcW w:type="dxa" w:w="1600"/>
          </w:tcPr>
          <w:p>
            <w:r>
              <w:rPr>
                <w:b w:val="false"/>
                <w:bCs w:val="false"/>
              </w:rPr>
              <w:t xml:space="preserve">50 000 – 100 000</w:t>
            </w:r>
          </w:p>
        </w:tc>
      </w:tr>
    </w:tbl>
    <w:p>
      <w:pPr>
        <w:pStyle w:val="Heading2"/>
        <w:spacing w:after="160" w:before="300"/>
      </w:pPr>
      <w:r>
        <w:t xml:space="preserve">9.2 Coûts d'exploitation annuels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1600"/>
      </w:tblGrid>
      <w:tr>
        <w:tc>
          <w:tcPr>
            <w:tcW w:type="dxa" w:w="2600"/>
            <w:shd w:fill="D9E2D9" w:val="clear"/>
          </w:tcPr>
          <w:p>
            <w:r>
              <w:rPr>
                <w:b/>
                <w:bCs/>
              </w:rPr>
              <w:t xml:space="preserve">Poste</w:t>
            </w:r>
          </w:p>
        </w:tc>
        <w:tc>
          <w:tcPr>
            <w:tcW w:type="dxa" w:w="4800"/>
            <w:shd w:fill="D9E2D9" w:val="clear"/>
          </w:tcPr>
          <w:p>
            <w:r>
              <w:rPr>
                <w:b/>
                <w:bCs/>
              </w:rPr>
              <w:t xml:space="preserve">Détail</w:t>
            </w:r>
          </w:p>
        </w:tc>
        <w:tc>
          <w:tcPr>
            <w:tcW w:type="dxa" w:w="1600"/>
            <w:shd w:fill="D9E2D9" w:val="clear"/>
          </w:tcPr>
          <w:p>
            <w:r>
              <w:rPr>
                <w:b/>
                <w:bCs/>
              </w:rPr>
              <w:t xml:space="preserve">Coût annuel estimé (FCFA)</w:t>
            </w:r>
          </w:p>
        </w:tc>
      </w:tr>
      <w:tr>
        <w:tc>
          <w:tcPr>
            <w:tcW w:type="dxa" w:w="2600"/>
          </w:tcPr>
          <w:p>
            <w:r>
              <w:rPr>
                <w:b w:val="false"/>
                <w:bCs w:val="false"/>
              </w:rPr>
              <w:t xml:space="preserve">Électricité et refroidissement</w:t>
            </w:r>
          </w:p>
        </w:tc>
        <w:tc>
          <w:tcPr>
            <w:tcW w:type="dxa" w:w="4800"/>
          </w:tcPr>
          <w:p>
            <w:r>
              <w:rPr>
                <w:b w:val="false"/>
                <w:bCs w:val="false"/>
              </w:rPr>
              <w:t xml:space="preserve">Serveur en fonctionnement continu</w:t>
            </w:r>
          </w:p>
        </w:tc>
        <w:tc>
          <w:tcPr>
            <w:tcW w:type="dxa" w:w="1600"/>
          </w:tcPr>
          <w:p>
            <w:r>
              <w:rPr>
                <w:b w:val="false"/>
                <w:bCs w:val="false"/>
              </w:rPr>
              <w:t xml:space="preserve">60 000 – 120 000</w:t>
            </w:r>
          </w:p>
        </w:tc>
      </w:tr>
      <w:tr>
        <w:tc>
          <w:tcPr>
            <w:tcW w:type="dxa" w:w="2600"/>
          </w:tcPr>
          <w:p>
            <w:r>
              <w:rPr>
                <w:b w:val="false"/>
                <w:bCs w:val="false"/>
              </w:rPr>
              <w:t xml:space="preserve">Stockage des logs</w:t>
            </w:r>
          </w:p>
        </w:tc>
        <w:tc>
          <w:tcPr>
            <w:tcW w:type="dxa" w:w="4800"/>
          </w:tcPr>
          <w:p>
            <w:r>
              <w:rPr>
                <w:b w:val="false"/>
                <w:bCs w:val="false"/>
              </w:rPr>
              <w:t xml:space="preserve">Volumétrie sur disque local</w:t>
            </w:r>
          </w:p>
        </w:tc>
        <w:tc>
          <w:tcPr>
            <w:tcW w:type="dxa" w:w="1600"/>
          </w:tcPr>
          <w:p>
            <w:r>
              <w:rPr>
                <w:b w:val="false"/>
                <w:bCs w:val="false"/>
              </w:rPr>
              <w:t xml:space="preserve">0</w:t>
            </w:r>
          </w:p>
        </w:tc>
      </w:tr>
    </w:tbl>
    <w:p>
      <w:pPr>
        <w:pStyle w:val="Heading2"/>
        <w:spacing w:after="160" w:before="300"/>
      </w:pPr>
      <w:r>
        <w:t xml:space="preserve">9.3 Comparaison avec les alternatives commerciales</w:t>
      </w:r>
    </w:p>
    <w:p>
      <w:pPr>
        <w:spacing w:after="160"/>
      </w:pPr>
      <w:r>
        <w:t xml:space="preserve">Les solutions commerciales équivalentes (SIEM managé, Threat Intelligence par abonnement) représentent des coûts annuels nettement supérieurs pour un établissement de taille comparable.</w:t>
      </w:r>
    </w:p>
    <w:p>
      <w:pPr>
        <w:pStyle w:val="Heading2"/>
        <w:spacing w:after="160" w:before="300"/>
      </w:pPr>
      <w:r>
        <w:t xml:space="preserve">9.4 Retour sur investissement et valeur ajoutée</w:t>
      </w:r>
    </w:p>
    <w:p>
      <w:pPr>
        <w:pStyle w:val="ListParagraph"/>
        <w:numPr>
          <w:ilvl w:val="0"/>
          <w:numId w:val="1"/>
        </w:numPr>
        <w:spacing w:after="100"/>
      </w:pPr>
      <w:r>
        <w:t xml:space="preserve">Détection précoce d'attaques ciblant le SI réel.</w:t>
      </w:r>
    </w:p>
    <w:p>
      <w:pPr>
        <w:pStyle w:val="ListParagraph"/>
        <w:numPr>
          <w:ilvl w:val="0"/>
          <w:numId w:val="1"/>
        </w:numPr>
        <w:spacing w:after="100"/>
      </w:pPr>
      <w:r>
        <w:t xml:space="preserve">Production de données de recherche sur les menaces ciblant les universités ouest-africaines.</w:t>
      </w:r>
    </w:p>
    <w:p>
      <w:pPr>
        <w:pStyle w:val="ListParagraph"/>
        <w:numPr>
          <w:ilvl w:val="0"/>
          <w:numId w:val="1"/>
        </w:numPr>
        <w:spacing w:after="100"/>
      </w:pPr>
      <w:r>
        <w:t xml:space="preserve">Modèle réplicable dans d'autres établissements du réseau universitaire national.</w:t>
      </w:r>
    </w:p>
    <w:p>
      <w:pPr>
        <w:pStyle w:val="Heading1"/>
        <w:spacing w:after="200" w:before="400"/>
      </w:pPr>
      <w:r>
        <w:t xml:space="preserve">Chapitre 10 – Limites identifiées et perspectives de recherche</w:t>
      </w:r>
    </w:p>
    <w:p>
      <w:pPr>
        <w:pStyle w:val="Heading2"/>
        <w:spacing w:after="160" w:before="300"/>
      </w:pPr>
      <w:r>
        <w:t xml:space="preserve">10.1 Limites méthodologiques</w:t>
      </w:r>
    </w:p>
    <w:p>
      <w:pPr>
        <w:pStyle w:val="Heading3"/>
        <w:spacing w:after="120" w:before="240"/>
      </w:pPr>
      <w:r>
        <w:t xml:space="preserve">10.1.1 Taille et durée de la fenêtre d'observation</w:t>
      </w:r>
    </w:p>
    <w:p>
      <w:pPr>
        <w:spacing w:after="160"/>
      </w:pPr>
      <w:r>
        <w:t xml:space="preserve">La fenêtre d'exposition réelle est documentée à 2-4 jours, assumée explicitement comme limite méthodologique — et non 21 jours comme évoqué dans une version antérieure non prouvée du mémoire.</w:t>
      </w:r>
    </w:p>
    <w:p>
      <w:pPr>
        <w:pStyle w:val="Heading3"/>
        <w:spacing w:after="120" w:before="240"/>
      </w:pPr>
      <w:r>
        <w:t xml:space="preserve">10.1.2 Généralisation des résultats</w:t>
      </w:r>
    </w:p>
    <w:p>
      <w:pPr>
        <w:spacing w:after="160"/>
      </w:pPr>
      <w:r>
        <w:t xml:space="preserve">Les données collectées reflètent le profil d'une infrastructure unique, déployée dans un contexte géographique et technique spécifique.</w:t>
      </w:r>
    </w:p>
    <w:p>
      <w:pPr>
        <w:pStyle w:val="Heading3"/>
        <w:spacing w:after="120" w:before="240"/>
      </w:pPr>
      <w:r>
        <w:t xml:space="preserve">10.1.3 Absence de validation red team externe</w:t>
      </w:r>
    </w:p>
    <w:p>
      <w:pPr>
        <w:spacing w:after="160"/>
      </w:pPr>
      <w:r>
        <w:t xml:space="preserve">La phase de validation interne ne remplace pas une évaluation externe conduite par une équipe de sécurité indépendante.</w:t>
      </w:r>
    </w:p>
    <w:p>
      <w:pPr>
        <w:pStyle w:val="Heading2"/>
        <w:spacing w:after="160" w:before="300"/>
      </w:pPr>
      <w:r>
        <w:t xml:space="preserve">10.2 Limites techniques</w:t>
      </w:r>
    </w:p>
    <w:p>
      <w:pPr>
        <w:pStyle w:val="Heading3"/>
        <w:spacing w:after="120" w:before="240"/>
      </w:pPr>
      <w:r>
        <w:t xml:space="preserve">10.2.1 Couverture des services simulés</w:t>
      </w:r>
    </w:p>
    <w:p>
      <w:pPr>
        <w:spacing w:after="160"/>
      </w:pPr>
      <w:r>
        <w:t xml:space="preserve">Le socle technique prioritaire couvre SSH et HTTP ; FTP et SMTP restent conditionnels à la validation de quatre prérequis techniques.</w:t>
      </w:r>
    </w:p>
    <w:p>
      <w:pPr>
        <w:pStyle w:val="Heading3"/>
        <w:spacing w:after="120" w:before="240"/>
      </w:pPr>
      <w:r>
        <w:t xml:space="preserve">10.2.2 Sophistication limitée du module réactif</w:t>
      </w:r>
    </w:p>
    <w:p>
      <w:pPr>
        <w:spacing w:after="160"/>
      </w:pPr>
      <w:r>
        <w:t xml:space="preserve">Le module de leurres dynamiques de Type B génère des appâts contextuels selon des règles prédéfinies, sans adaptation à des séquences comportementales complexes.</w:t>
      </w:r>
    </w:p>
    <w:p>
      <w:pPr>
        <w:pStyle w:val="Heading3"/>
        <w:spacing w:after="120" w:before="240"/>
      </w:pPr>
      <w:r>
        <w:t xml:space="preserve">10.2.3 Risque de détection par fingerprinting</w:t>
      </w:r>
    </w:p>
    <w:p>
      <w:pPr>
        <w:spacing w:after="160"/>
      </w:pPr>
      <w:r>
        <w:t xml:space="preserve">Des attaquants expérimentés peuvent identifier Cowrie comme environnement artificiel via des techniques de fingerprinting spécifiques.</w:t>
      </w:r>
    </w:p>
    <w:p>
      <w:pPr>
        <w:pStyle w:val="Heading2"/>
        <w:spacing w:after="160" w:before="300"/>
      </w:pPr>
      <w:r>
        <w:t xml:space="preserve">10.3 Perspectives de recherche</w:t>
      </w:r>
    </w:p>
    <w:p>
      <w:pPr>
        <w:pStyle w:val="ListParagraph"/>
        <w:numPr>
          <w:ilvl w:val="0"/>
          <w:numId w:val="1"/>
        </w:numPr>
        <w:spacing w:after="100"/>
      </w:pPr>
      <w:r>
        <w:t xml:space="preserve">Extension multi-sites dans plusieurs universités béninoises et de la sous-région UEMOA.</w:t>
      </w:r>
    </w:p>
    <w:p>
      <w:pPr>
        <w:pStyle w:val="ListParagraph"/>
        <w:numPr>
          <w:ilvl w:val="0"/>
          <w:numId w:val="1"/>
        </w:numPr>
        <w:spacing w:after="100"/>
      </w:pPr>
      <w:r>
        <w:t xml:space="preserve">Intégration de l'intelligence artificielle pour automatiser la classification MITRE ATT&amp;CK.</w:t>
      </w:r>
    </w:p>
    <w:p>
      <w:pPr>
        <w:pStyle w:val="ListParagraph"/>
        <w:numPr>
          <w:ilvl w:val="0"/>
          <w:numId w:val="1"/>
        </w:numPr>
        <w:spacing w:after="100"/>
      </w:pPr>
      <w:r>
        <w:t xml:space="preserve">Corrélation avec des flux de Threat Intelligence (AbuseIPDB, VirusTotal, MISP).</w:t>
      </w:r>
    </w:p>
    <w:p>
      <w:pPr>
        <w:pStyle w:val="Heading1"/>
        <w:spacing w:after="200" w:before="400"/>
      </w:pPr>
      <w:r>
        <w:t xml:space="preserve">Conclusion générale</w:t>
      </w:r>
    </w:p>
    <w:p>
      <w:pPr>
        <w:spacing w:after="160"/>
      </w:pPr>
      <w:r>
        <w:t xml:space="preserve">Ce mémoire avait pour ambition de concevoir, déployer et expérimenter un honeypot multi-services à leurres dynamiques dans un environnement universitaire, en s'appuyant sur le framework MITRE ATT&amp;CK pour structurer l'analyse des comportements adverses observés.</w:t>
      </w:r>
    </w:p>
    <w:p>
      <w:pPr>
        <w:spacing w:after="200"/>
      </w:pPr>
      <w:r>
        <w:rPr>
          <w:i/>
          <w:iCs/>
          <w:color w:val="808080"/>
          <w:sz w:val="20"/>
          <w:szCs w:val="20"/>
        </w:rPr>
        <w:t xml:space="preserve">Section à finaliser une fois les résultats expérimentaux réels disponibles — non modifiée dans ce passage.</w:t>
      </w:r>
    </w:p>
    <w:p>
      <w:pPr>
        <w:pStyle w:val="Heading1"/>
        <w:spacing w:after="200" w:before="400"/>
      </w:pPr>
      <w:r>
        <w:t xml:space="preserve">Références bibliographiques</w:t>
      </w:r>
    </w:p>
    <w:p>
      <w:pPr>
        <w:spacing w:after="160"/>
      </w:pPr>
      <w:r>
        <w:t xml:space="preserve">Ahmad, A., Desouza, K. C., Maynard, S. B., Naseer, H., &amp; Baskerville, R. L. (2020). How integration of cyber security management and incident response enables organizational learning. Journal of the Association for Information Science and Technology, 71(8), 939–953.</w:t>
      </w:r>
    </w:p>
    <w:p>
      <w:pPr>
        <w:spacing w:after="160"/>
      </w:pPr>
      <w:r>
        <w:t xml:space="preserve">Bada, M., Sasse, A. M., &amp; Nurse, J. R. C. (2019). Cyber security awareness campaigns: Why do they fail to change behaviour? International Journal of Information and Computer Security, 11(4), 328–356.</w:t>
      </w:r>
    </w:p>
    <w:p>
      <w:pPr>
        <w:spacing w:after="200"/>
      </w:pPr>
      <w:r>
        <w:rPr>
          <w:i/>
          <w:iCs/>
          <w:color w:val="808080"/>
          <w:sz w:val="20"/>
          <w:szCs w:val="20"/>
        </w:rPr>
        <w:t xml:space="preserve">Co-auteur Nurse ajouté (manquant dans la version source — cf. audit bibliographique). Lallie et al. (2023), cité en introduction, reste absent de cette liste et doit être ajouté avec la référence complète avant dépôt.</w:t>
      </w:r>
    </w:p>
    <w:p>
      <w:pPr>
        <w:spacing w:after="160"/>
      </w:pPr>
      <w:r>
        <w:t xml:space="preserve">MITRE Corporation. (2023). MITRE ATT&amp;CK® Enterprise Matrix (v14.0). https://attack.mitre.org</w:t>
      </w:r>
    </w:p>
    <w:p>
      <w:pPr>
        <w:spacing w:after="160"/>
      </w:pPr>
      <w:r>
        <w:t xml:space="preserve">Provos, N., &amp; Holz, T. (2007). Virtual Honeypots: From Botnet Tracking to Intrusion Detection. Addison-Wesley Professional.</w:t>
      </w:r>
    </w:p>
    <w:p>
      <w:pPr>
        <w:spacing w:after="160"/>
      </w:pPr>
      <w:r>
        <w:t xml:space="preserve">Spitzner, L. (2003). Honeypots: Tracking Hackers. Addison-Wesley Professional.</w:t>
      </w:r>
    </w:p>
    <w:p>
      <w:pPr>
        <w:spacing w:after="160"/>
      </w:pPr>
      <w:r>
        <w:t xml:space="preserve">Strom, B. E., Applebaum, A., Miller, D. P., Nickels, K. C., Pennington, A. G., &amp; Thomas, C. B. (2018). MITRE ATT&amp;CK: Design and Philosophy. MITRE Technical Report MTR180316.</w:t>
      </w:r>
    </w:p>
    <w:p>
      <w:pPr>
        <w:spacing w:after="200"/>
      </w:pPr>
      <w:r>
        <w:rPr>
          <w:i/>
          <w:iCs/>
          <w:color w:val="808080"/>
          <w:sz w:val="20"/>
          <w:szCs w:val="20"/>
        </w:rPr>
        <w:t xml:space="preserve">Référence « The Honeynet Project (2022) » : date suspecte (probablement 2004) — à vérifier avant dépôt. Alsmadi &amp; Zarour (2021) et Jang et al. (2019) : orphelines, jamais citées dans le corps du texte — à citer ou retirer.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b/>
      <w:bCs/>
      <w:color w:val="1F3864"/>
      <w:sz w:val="32"/>
      <w:szCs w:val="32"/>
    </w:rPr>
  </w:style>
  <w:style w:type="paragraph" w:styleId="Heading2">
    <w:name w:val="Heading 2"/>
    <w:basedOn w:val="Normal"/>
    <w:next w:val="Normal"/>
    <w:qFormat/>
    <w:pPr>
      <w:spacing w:after="160" w:before="300"/>
    </w:pPr>
    <w:rPr>
      <w:b/>
      <w:bCs/>
      <w:color w:val="2E5395"/>
      <w:sz w:val="26"/>
      <w:szCs w:val="26"/>
    </w:rPr>
  </w:style>
  <w:style w:type="paragraph" w:styleId="Heading3">
    <w:name w:val="Heading 3"/>
    <w:basedOn w:val="Normal"/>
    <w:next w:val="Normal"/>
    <w:qFormat/>
    <w:pPr>
      <w:spacing w:after="120" w:before="240"/>
    </w:pPr>
    <w:rPr>
      <w:b/>
      <w:bCs/>
      <w:i/>
      <w:i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2026-09-07T09:50:08.894Z</dcterms:created>
  <dcterms:modified xsi:type="dcterms:W3CDTF">2026-09-07T09:50:08.907Z</dcterms:modified>
</cp:coreProperties>
</file>

<file path=docProps/custom.xml><?xml version="1.0" encoding="utf-8"?>
<Properties xmlns="http://schemas.openxmlformats.org/officeDocument/2006/custom-properties" xmlns:vt="http://schemas.openxmlformats.org/officeDocument/2006/docPropsVTypes"/>
</file>