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41E" w14:textId="7DB98925" w:rsidR="006E5CD0" w:rsidRPr="008E25F6" w:rsidRDefault="006E5CD0" w:rsidP="00F0421D">
      <w:pPr>
        <w:spacing w:after="0" w:line="240" w:lineRule="auto"/>
        <w:ind w:left="-284"/>
        <w:jc w:val="both"/>
        <w:rPr>
          <w:rFonts w:ascii="Bodoni MT" w:hAnsi="Bodoni MT" w:cs="Open Sans"/>
          <w:b/>
          <w:bCs/>
          <w:sz w:val="40"/>
          <w:szCs w:val="40"/>
        </w:rPr>
      </w:pPr>
      <w:r w:rsidRPr="008E25F6">
        <w:rPr>
          <w:rFonts w:ascii="Congenial" w:hAnsi="Congenial" w:cs="Cavolini"/>
          <w:b/>
          <w:bCs/>
          <w:color w:val="9D8569" w:themeColor="accent2"/>
          <w:sz w:val="56"/>
          <w:szCs w:val="56"/>
        </w:rPr>
        <w:t>&gt;</w:t>
      </w:r>
      <w:r w:rsidR="00DC73E3" w:rsidRPr="00C130E7">
        <w:rPr>
          <w:rFonts w:ascii="Georgia" w:hAnsi="Georgia" w:cs="Open Sans"/>
          <w:b/>
          <w:bCs/>
          <w:sz w:val="52"/>
          <w:szCs w:val="52"/>
        </w:rPr>
        <w:t>DIAGNÓSTICO EMPRESARIAL</w:t>
      </w:r>
    </w:p>
    <w:p w14:paraId="11055D77" w14:textId="4C31E4CE" w:rsidR="0069566E" w:rsidRDefault="00D258B9" w:rsidP="00147D6C">
      <w:pPr>
        <w:spacing w:after="0" w:line="360" w:lineRule="auto"/>
        <w:rPr>
          <w:rFonts w:ascii="Verdana" w:hAnsi="Verdana" w:cs="Open Sans"/>
          <w:sz w:val="32"/>
          <w:szCs w:val="32"/>
        </w:rPr>
      </w:pPr>
      <w:r w:rsidRPr="00C130E7">
        <w:rPr>
          <w:rFonts w:ascii="Verdana" w:hAnsi="Verdana" w:cs="Open Sans"/>
          <w:sz w:val="32"/>
          <w:szCs w:val="32"/>
        </w:rPr>
        <w:t xml:space="preserve">RELATÓRIO </w:t>
      </w:r>
      <w:r w:rsidR="005B0608">
        <w:rPr>
          <w:rFonts w:ascii="Verdana" w:hAnsi="Verdana" w:cs="Open Sans"/>
          <w:sz w:val="32"/>
          <w:szCs w:val="32"/>
        </w:rPr>
        <w:t>DE AVALIAÇÃO DOCUMENTAL POR DIMENSÃO</w:t>
      </w:r>
    </w:p>
    <w:p w14:paraId="256001C6" w14:textId="77777777" w:rsidR="00D33F52" w:rsidRPr="00D3310F" w:rsidRDefault="00D33F52" w:rsidP="00D3310F">
      <w:pPr>
        <w:spacing w:after="0" w:line="360" w:lineRule="auto"/>
        <w:jc w:val="both"/>
        <w:rPr>
          <w:rFonts w:ascii="Arial" w:hAnsi="Arial" w:cs="Arial"/>
        </w:rPr>
      </w:pPr>
    </w:p>
    <w:p w14:paraId="29F4E475" w14:textId="77777777" w:rsidR="00C94B77" w:rsidRDefault="00C94B77" w:rsidP="00C94B77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Empresa: </w:t>
      </w:r>
      <w:r>
        <w:rPr>
          <w:rFonts w:ascii="Arial" w:hAnsi="Arial" w:cs="Arial"/>
        </w:rPr>
        <w:t>Capital Química Indústria e Comércio de Produtos Químicos LTDA</w:t>
      </w:r>
    </w:p>
    <w:p w14:paraId="32ED33B9" w14:textId="77777777" w:rsidR="00C94B77" w:rsidRDefault="00C94B77" w:rsidP="00C94B77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CNPJ: </w:t>
      </w:r>
      <w:r>
        <w:rPr>
          <w:rFonts w:ascii="Arial" w:hAnsi="Arial" w:cs="Arial"/>
        </w:rPr>
        <w:t>23.202.193/0001-69</w:t>
      </w:r>
    </w:p>
    <w:p w14:paraId="2C699A88" w14:textId="77777777" w:rsidR="00D258B9" w:rsidRDefault="00D258B9" w:rsidP="00F0421D">
      <w:pPr>
        <w:spacing w:after="0" w:line="276" w:lineRule="auto"/>
        <w:jc w:val="both"/>
        <w:rPr>
          <w:spacing w:val="-2"/>
        </w:rPr>
      </w:pPr>
      <w:r>
        <w:rPr>
          <w:rFonts w:ascii="Arial Black"/>
          <w:spacing w:val="-2"/>
        </w:rPr>
        <w:t>Consultoria:</w:t>
      </w:r>
      <w:r>
        <w:rPr>
          <w:rFonts w:ascii="Arial Black"/>
          <w:spacing w:val="-13"/>
        </w:rPr>
        <w:t xml:space="preserve"> </w:t>
      </w:r>
      <w:r w:rsidRPr="00492F74">
        <w:rPr>
          <w:rFonts w:ascii="Arial" w:hAnsi="Arial" w:cs="Arial"/>
        </w:rPr>
        <w:t>R&amp;V Consultores Associados</w:t>
      </w:r>
    </w:p>
    <w:p w14:paraId="16DB9B2B" w14:textId="77777777" w:rsidR="00384E9F" w:rsidRDefault="00384E9F" w:rsidP="00D56E30">
      <w:pPr>
        <w:spacing w:after="0" w:line="360" w:lineRule="auto"/>
        <w:jc w:val="both"/>
        <w:rPr>
          <w:rFonts w:ascii="Arial" w:hAnsi="Arial" w:cs="Arial"/>
        </w:rPr>
      </w:pPr>
    </w:p>
    <w:p w14:paraId="6914EC85" w14:textId="0A4A8817" w:rsidR="00252BBE" w:rsidRPr="00D56E30" w:rsidRDefault="00252BBE" w:rsidP="00D56E30">
      <w:pPr>
        <w:pStyle w:val="Ttulo1"/>
        <w:jc w:val="both"/>
      </w:pPr>
      <w:r w:rsidRPr="00D56E30">
        <w:t>INTRODUÇÃO</w:t>
      </w:r>
    </w:p>
    <w:p w14:paraId="0F093DF4" w14:textId="77777777" w:rsidR="00C74EB2" w:rsidRPr="00C74EB2" w:rsidRDefault="00C74EB2" w:rsidP="00C74EB2">
      <w:pPr>
        <w:spacing w:after="0" w:line="360" w:lineRule="auto"/>
        <w:jc w:val="both"/>
        <w:rPr>
          <w:rFonts w:ascii="Arial" w:hAnsi="Arial" w:cs="Arial"/>
        </w:rPr>
      </w:pPr>
      <w:r w:rsidRPr="00C74EB2">
        <w:rPr>
          <w:rFonts w:ascii="Arial" w:hAnsi="Arial" w:cs="Arial"/>
        </w:rPr>
        <w:t>A análise documental constitui uma etapa fundamental do Diagnóstico Empresarial do Método Vertex 360º, pois permite avaliar o nível de organização, conformidade, disponibilidade e confiabilidade das informações que sustentam a gestão da empresa. A partir da verificação dos documentos disponibilizados, é possível identificar fragilidades, riscos, inconsistências e oportunidades de melhoria relacionadas às dimensões contábil, financeira, operacional e de recursos humanos.</w:t>
      </w:r>
    </w:p>
    <w:p w14:paraId="709A6565" w14:textId="77777777" w:rsidR="00C74EB2" w:rsidRPr="00C74EB2" w:rsidRDefault="00C74EB2" w:rsidP="00C74EB2">
      <w:pPr>
        <w:spacing w:after="0" w:line="360" w:lineRule="auto"/>
        <w:jc w:val="both"/>
        <w:rPr>
          <w:rFonts w:ascii="Arial" w:hAnsi="Arial" w:cs="Arial"/>
        </w:rPr>
      </w:pPr>
    </w:p>
    <w:p w14:paraId="6AA29CF6" w14:textId="6E30D6E3" w:rsidR="00DC73E3" w:rsidRPr="00D56E30" w:rsidRDefault="00C74EB2" w:rsidP="00C74EB2">
      <w:pPr>
        <w:spacing w:after="0" w:line="360" w:lineRule="auto"/>
        <w:jc w:val="both"/>
        <w:rPr>
          <w:rFonts w:ascii="Arial" w:hAnsi="Arial" w:cs="Arial"/>
        </w:rPr>
      </w:pPr>
      <w:r w:rsidRPr="00C74EB2">
        <w:rPr>
          <w:rFonts w:ascii="Arial" w:hAnsi="Arial" w:cs="Arial"/>
        </w:rPr>
        <w:t>No caso da Capital Química, empresa fundada em 2018 e atuante na distribuição atacadista e fracionada de matérias-primas químicas em diversos estados, a avaliação documental assume relevância ainda maior devido às exigências regulatórias inerentes ao segmento. A análise permite compreender o grau de maturidade dos controles atualmente utilizados e sua capacidade de suportar a tomada de decisão, a conformidade legal e o crescimento sustentável da organização.</w:t>
      </w:r>
    </w:p>
    <w:p w14:paraId="282922CA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62C29D7B" w14:textId="48CAB365" w:rsidR="00252BBE" w:rsidRPr="00D56E30" w:rsidRDefault="00252BBE" w:rsidP="00D56E30">
      <w:pPr>
        <w:pStyle w:val="Ttulo1"/>
        <w:jc w:val="both"/>
      </w:pPr>
      <w:r w:rsidRPr="00D56E30">
        <w:t>OBJETIVO</w:t>
      </w:r>
    </w:p>
    <w:p w14:paraId="5E696086" w14:textId="2F08C3AF" w:rsidR="00EE0C08" w:rsidRPr="00EE0C08" w:rsidRDefault="00EE0C08" w:rsidP="00EE0C08">
      <w:pPr>
        <w:spacing w:after="0" w:line="360" w:lineRule="auto"/>
        <w:jc w:val="both"/>
        <w:rPr>
          <w:rFonts w:ascii="Arial" w:hAnsi="Arial" w:cs="Arial"/>
        </w:rPr>
      </w:pPr>
      <w:r w:rsidRPr="00EE0C08">
        <w:rPr>
          <w:rFonts w:ascii="Arial" w:hAnsi="Arial" w:cs="Arial"/>
        </w:rPr>
        <w:t>O presente relatório tem como finalidade apresentar os resultados da Avaliação Documental por Dimensão da Fase de Análise Documental da etapa de Diagnóstico Empresarial do Método Vertex 360º, aplicada à Capital Química.</w:t>
      </w:r>
    </w:p>
    <w:p w14:paraId="0BA8DC62" w14:textId="77777777" w:rsidR="00EE0C08" w:rsidRPr="00EE0C08" w:rsidRDefault="00EE0C08" w:rsidP="00EE0C08">
      <w:pPr>
        <w:spacing w:after="0" w:line="360" w:lineRule="auto"/>
        <w:jc w:val="both"/>
        <w:rPr>
          <w:rFonts w:ascii="Arial" w:hAnsi="Arial" w:cs="Arial"/>
        </w:rPr>
      </w:pPr>
    </w:p>
    <w:p w14:paraId="17F84D1B" w14:textId="681B5E10" w:rsidR="00252BBE" w:rsidRPr="00D56E30" w:rsidRDefault="00EE0C08" w:rsidP="00EE0C08">
      <w:pPr>
        <w:spacing w:after="0" w:line="360" w:lineRule="auto"/>
        <w:jc w:val="both"/>
        <w:rPr>
          <w:rFonts w:ascii="Arial" w:hAnsi="Arial" w:cs="Arial"/>
        </w:rPr>
      </w:pPr>
      <w:r w:rsidRPr="00EE0C08">
        <w:rPr>
          <w:rFonts w:ascii="Arial" w:hAnsi="Arial" w:cs="Arial"/>
        </w:rPr>
        <w:t xml:space="preserve">O objetivo é verificar o nível de organização, conformidade e integridade documental da empresa, com foco em identificar lacunas, riscos e potenciais de melhoria para </w:t>
      </w:r>
      <w:r w:rsidRPr="00EE0C08">
        <w:rPr>
          <w:rFonts w:ascii="Arial" w:hAnsi="Arial" w:cs="Arial"/>
        </w:rPr>
        <w:lastRenderedPageBreak/>
        <w:t>embasar o desenvolvimento de ações estratégicas nas fases seguintes do plano de transformação organizacional.</w:t>
      </w:r>
    </w:p>
    <w:p w14:paraId="13428FC4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2BB2B7FC" w14:textId="67E79EC5" w:rsidR="00252BBE" w:rsidRPr="00D56E30" w:rsidRDefault="00252BBE" w:rsidP="00D56E30">
      <w:pPr>
        <w:pStyle w:val="Ttulo1"/>
        <w:jc w:val="both"/>
      </w:pPr>
      <w:r w:rsidRPr="00D56E30">
        <w:t>METODOLOGIA</w:t>
      </w:r>
    </w:p>
    <w:p w14:paraId="73EC4306" w14:textId="77777777" w:rsidR="00CF47C0" w:rsidRPr="00CF47C0" w:rsidRDefault="00CF47C0" w:rsidP="00CF47C0">
      <w:pPr>
        <w:spacing w:after="0" w:line="360" w:lineRule="auto"/>
        <w:jc w:val="both"/>
        <w:rPr>
          <w:rFonts w:ascii="Arial" w:hAnsi="Arial" w:cs="Arial"/>
        </w:rPr>
      </w:pPr>
      <w:r w:rsidRPr="00CF47C0">
        <w:rPr>
          <w:rFonts w:ascii="Arial" w:hAnsi="Arial" w:cs="Arial"/>
        </w:rPr>
        <w:t>A análise foi conduzida a partir da aplicação de um checklist técnico detalhado previamente estruturado e compreendeu quatro eixos: contábil-fiscal, financeiro, operacional e recursos humanos, voltado à verificação da existência, atualização e aderência dos documentos às exigências legais e às boas práticas de gestão.</w:t>
      </w:r>
    </w:p>
    <w:p w14:paraId="49D43716" w14:textId="77777777" w:rsidR="00CF47C0" w:rsidRPr="00CF47C0" w:rsidRDefault="00CF47C0" w:rsidP="00CF47C0">
      <w:pPr>
        <w:spacing w:after="0" w:line="360" w:lineRule="auto"/>
        <w:jc w:val="both"/>
        <w:rPr>
          <w:rFonts w:ascii="Arial" w:hAnsi="Arial" w:cs="Arial"/>
        </w:rPr>
      </w:pPr>
    </w:p>
    <w:p w14:paraId="34474D47" w14:textId="6D523536" w:rsidR="00F7360E" w:rsidRPr="00D56E30" w:rsidRDefault="00CF47C0" w:rsidP="00CF47C0">
      <w:pPr>
        <w:spacing w:after="0" w:line="360" w:lineRule="auto"/>
        <w:jc w:val="both"/>
        <w:rPr>
          <w:rFonts w:ascii="Arial" w:hAnsi="Arial" w:cs="Arial"/>
        </w:rPr>
      </w:pPr>
      <w:r w:rsidRPr="00CF47C0">
        <w:rPr>
          <w:rFonts w:ascii="Arial" w:hAnsi="Arial" w:cs="Arial"/>
        </w:rPr>
        <w:t>O processo foi complementado por entrevistas e alinhamentos com a liderança da empresa, permitindo compreender o contexto operacional, validar informações e interpretar os impactos decorrentes da documentação apresentada. Também foram consideradas as particularidades do segmento químico, que exige elevado nível de conformidade regulatória, controle operacional e gestão de riscos.</w:t>
      </w:r>
    </w:p>
    <w:p w14:paraId="7DEE84AB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34837046" w14:textId="1CFA2638" w:rsidR="00252BBE" w:rsidRPr="00D56E30" w:rsidRDefault="00450B61" w:rsidP="00D56E30">
      <w:pPr>
        <w:pStyle w:val="Ttulo1"/>
        <w:jc w:val="both"/>
      </w:pPr>
      <w:r w:rsidRPr="00D56E30">
        <w:t>A</w:t>
      </w:r>
      <w:r w:rsidR="00DA1A04">
        <w:t>VALIAÇÃO POR DIMENSÃO</w:t>
      </w:r>
    </w:p>
    <w:p w14:paraId="698A1450" w14:textId="7C358572" w:rsidR="007724E8" w:rsidRPr="0052704A" w:rsidRDefault="00605242" w:rsidP="00D56E30">
      <w:pPr>
        <w:pStyle w:val="Ttulo2"/>
        <w:ind w:left="426"/>
        <w:jc w:val="both"/>
      </w:pPr>
      <w:r w:rsidRPr="00605242">
        <w:t>Contábil e Fiscal</w:t>
      </w:r>
    </w:p>
    <w:p w14:paraId="24E198BC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  <w:r w:rsidRPr="00AA0FB1">
        <w:rPr>
          <w:rFonts w:ascii="Arial" w:hAnsi="Arial" w:cs="Arial"/>
        </w:rPr>
        <w:t>A Capital Química apresentou integralmente as demonstrações contábeis solicitadas, demonstrando disponibilidade documental e suporte da contabilidade para atendimento das demandas de análise. A empresa encontra-se enquadrada no regime de Lucro Real, o que exige maior rigor na gestão tributária, contábil e financeira.</w:t>
      </w:r>
    </w:p>
    <w:p w14:paraId="7DAD3418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</w:p>
    <w:p w14:paraId="78B467B7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  <w:r w:rsidRPr="00AA0FB1">
        <w:rPr>
          <w:rFonts w:ascii="Arial" w:hAnsi="Arial" w:cs="Arial"/>
        </w:rPr>
        <w:t>As inscrições municipal e estadual encontram-se ativas e regulares. Em relação às licenças regulatórias específicas do segmento químico, a empresa apresentou documentação relevante e compatível com sua atividade, incluindo registros junto à Polícia Federal, Exército Brasileiro, Conselho Regional de Química (CRQ), IBAMA e Licença Ambiental, todos dentro dos respectivos prazos de validade.</w:t>
      </w:r>
    </w:p>
    <w:p w14:paraId="3BFBC002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</w:p>
    <w:p w14:paraId="4401CF30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  <w:r w:rsidRPr="00AA0FB1">
        <w:rPr>
          <w:rFonts w:ascii="Arial" w:hAnsi="Arial" w:cs="Arial"/>
        </w:rPr>
        <w:t xml:space="preserve">Por outro lado, a análise identificou fragilidades relevantes relacionadas à regularidade fiscal. A certidão estadual apresentada evidencia a existência de débitos vinculados a sete processos distintos junto à SEFAZ. Adicionalmente, não foi </w:t>
      </w:r>
      <w:r w:rsidRPr="00AA0FB1">
        <w:rPr>
          <w:rFonts w:ascii="Arial" w:hAnsi="Arial" w:cs="Arial"/>
        </w:rPr>
        <w:lastRenderedPageBreak/>
        <w:t>apresentada Certidão Federal, sendo substituída por relatórios demonstrando a existência de débitos tributários já inscritos em dívida ativa.</w:t>
      </w:r>
    </w:p>
    <w:p w14:paraId="147642B3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</w:p>
    <w:p w14:paraId="17E993D6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  <w:r w:rsidRPr="00AA0FB1">
        <w:rPr>
          <w:rFonts w:ascii="Arial" w:hAnsi="Arial" w:cs="Arial"/>
        </w:rPr>
        <w:t>Também não foram apresentados o Certificado de Conformidade do Corpo de Bombeiros, o Alvará da Vigilância Sanitária e o Alvará de Funcionamento. Embora a empresa tenha informado que a regularização depende de adequações estruturais e arquitetônicas futuras, a ausência desses documentos representa uma limitação relevante sob a ótica da conformidade operacional.</w:t>
      </w:r>
    </w:p>
    <w:p w14:paraId="76D9452B" w14:textId="77777777" w:rsidR="00AA0FB1" w:rsidRPr="00AA0FB1" w:rsidRDefault="00AA0FB1" w:rsidP="00AA0FB1">
      <w:pPr>
        <w:spacing w:after="0" w:line="360" w:lineRule="auto"/>
        <w:jc w:val="both"/>
        <w:rPr>
          <w:rFonts w:ascii="Arial" w:hAnsi="Arial" w:cs="Arial"/>
        </w:rPr>
      </w:pPr>
    </w:p>
    <w:p w14:paraId="252E21D6" w14:textId="083F66F4" w:rsidR="00DC73E3" w:rsidRPr="00D56E30" w:rsidRDefault="00AA0FB1" w:rsidP="00AA0FB1">
      <w:pPr>
        <w:spacing w:after="0" w:line="360" w:lineRule="auto"/>
        <w:jc w:val="both"/>
        <w:rPr>
          <w:rFonts w:ascii="Arial" w:hAnsi="Arial" w:cs="Arial"/>
        </w:rPr>
      </w:pPr>
      <w:r w:rsidRPr="00AA0FB1">
        <w:rPr>
          <w:rFonts w:ascii="Arial" w:hAnsi="Arial" w:cs="Arial"/>
        </w:rPr>
        <w:t>De forma geral, a documentação contábil demonstra boa disponibilidade de informações, porém coexistindo com passivos tributários significativos e pendências regulatórias que demandam atenção prioritária.</w:t>
      </w:r>
    </w:p>
    <w:p w14:paraId="0050B752" w14:textId="77777777" w:rsidR="00DC73E3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6DBA485E" w14:textId="369BEC7D" w:rsidR="0052704A" w:rsidRPr="0052704A" w:rsidRDefault="0052704A" w:rsidP="0052704A">
      <w:pPr>
        <w:pStyle w:val="Ttulo2"/>
        <w:ind w:left="426"/>
        <w:jc w:val="both"/>
      </w:pPr>
      <w:r>
        <w:t>Financeira</w:t>
      </w:r>
    </w:p>
    <w:p w14:paraId="2981704E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>A documentação financeira disponibilizada demonstra que a empresa possui controles e relatórios formalmente existentes, porém apresenta limitações relevantes relacionadas à confiabilidade e consistência das informações geradas.</w:t>
      </w:r>
    </w:p>
    <w:p w14:paraId="65BE3587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</w:p>
    <w:p w14:paraId="4D186A0A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>Foram apresentados fluxo de caixa, contas a pagar, contas a receber, relatórios de faturamento, inadimplência, custos e despesas. Entretanto, durante a análise, não foi possível validar integralmente diversos saldos em função de inconsistências entre os relatórios apresentados.</w:t>
      </w:r>
    </w:p>
    <w:p w14:paraId="3CA8CDFC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</w:p>
    <w:p w14:paraId="32F319E9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>Segundo informações obtidas durante as entrevistas, tais inconsistências decorrem de uma combinação de fatores, incluindo problemas de parametrização do sistema, lançamentos inadequados, conciliações incompletas e utilização simultânea de critérios contábeis e financeiros sem padronização adequada.</w:t>
      </w:r>
    </w:p>
    <w:p w14:paraId="3335BF8F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</w:p>
    <w:p w14:paraId="3002A877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 xml:space="preserve">A inadimplência é controlada por meio de planilha paralela utilizada para acompanhamento junto ao escritório de cobrança, uma vez que o relatório extraído do sistema não representa adequadamente a realidade da carteira. Situação semelhante ocorre com o faturamento, cujo relatório gerado pelo sistema apresenta </w:t>
      </w:r>
      <w:r w:rsidRPr="0034350E">
        <w:rPr>
          <w:rFonts w:ascii="Arial" w:hAnsi="Arial" w:cs="Arial"/>
        </w:rPr>
        <w:lastRenderedPageBreak/>
        <w:t>distorções decorrentes da forma como renegociações de débitos são registradas, produzindo impacto direto sobre a confiabilidade dos números.</w:t>
      </w:r>
    </w:p>
    <w:p w14:paraId="7105BD10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</w:p>
    <w:p w14:paraId="0432F4DE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>Também foram identificadas oportunidades de melhoria na classificação de custos e despesas, dificultando análises gerenciais mais precisas sobre rentabilidade e desempenho operacional.</w:t>
      </w:r>
    </w:p>
    <w:p w14:paraId="31E8AB69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</w:p>
    <w:p w14:paraId="4604AEEA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>Em relação aos ativos, a empresa não possui controle formal de imobilizado. Em contrapartida, foi apresentado relatório de estoque extraído do ERP, utilizado para controle das mercadorias comercializadas.</w:t>
      </w:r>
    </w:p>
    <w:p w14:paraId="3CB723B2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</w:p>
    <w:p w14:paraId="58E13197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>A estrutura de endividamento merece atenção especial. Foram identificados débitos tributários relevantes junto à SEFAZ, Receita Federal e plataforma Regularize, totalizando valores expressivos sem evidência de negociação ou plano estruturado de regularização. Além disso, a empresa mantém operações de crédito junto ao Sicoob, Santander, Stone e aporte financeiro realizado por sócio para capital de giro.</w:t>
      </w:r>
    </w:p>
    <w:p w14:paraId="52384419" w14:textId="77777777" w:rsidR="0034350E" w:rsidRPr="0034350E" w:rsidRDefault="0034350E" w:rsidP="0034350E">
      <w:pPr>
        <w:spacing w:after="0" w:line="360" w:lineRule="auto"/>
        <w:jc w:val="both"/>
        <w:rPr>
          <w:rFonts w:ascii="Arial" w:hAnsi="Arial" w:cs="Arial"/>
        </w:rPr>
      </w:pPr>
    </w:p>
    <w:p w14:paraId="1E7720AE" w14:textId="53994F8B" w:rsidR="0052704A" w:rsidRPr="00D56E30" w:rsidRDefault="0034350E" w:rsidP="0034350E">
      <w:pPr>
        <w:spacing w:after="0" w:line="360" w:lineRule="auto"/>
        <w:jc w:val="both"/>
        <w:rPr>
          <w:rFonts w:ascii="Arial" w:hAnsi="Arial" w:cs="Arial"/>
        </w:rPr>
      </w:pPr>
      <w:r w:rsidRPr="0034350E">
        <w:rPr>
          <w:rFonts w:ascii="Arial" w:hAnsi="Arial" w:cs="Arial"/>
        </w:rPr>
        <w:t>A análise evidencia que a principal fragilidade financeira da Capital Química não está na ausência de controles, mas na baixa confiabilidade das informações produzidas pelos controles atualmente existentes, o que limita significativamente sua utilização como instrumento de gestão e tomada de decisão.</w:t>
      </w:r>
    </w:p>
    <w:p w14:paraId="29E9143E" w14:textId="77777777" w:rsidR="0052704A" w:rsidRDefault="0052704A" w:rsidP="00D56E30">
      <w:pPr>
        <w:spacing w:after="0" w:line="360" w:lineRule="auto"/>
        <w:jc w:val="both"/>
        <w:rPr>
          <w:rFonts w:ascii="Arial" w:hAnsi="Arial" w:cs="Arial"/>
        </w:rPr>
      </w:pPr>
    </w:p>
    <w:p w14:paraId="07A01CF5" w14:textId="260A66E2" w:rsidR="0052704A" w:rsidRPr="0052704A" w:rsidRDefault="0052704A" w:rsidP="0052704A">
      <w:pPr>
        <w:pStyle w:val="Ttulo2"/>
        <w:ind w:left="426"/>
        <w:jc w:val="both"/>
      </w:pPr>
      <w:r>
        <w:t>Operacional</w:t>
      </w:r>
    </w:p>
    <w:p w14:paraId="5720A31C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>A avaliação da documentação operacional demonstra uma estrutura parcialmente formalizada, porém concentrada em processos específicos da operação.</w:t>
      </w:r>
    </w:p>
    <w:p w14:paraId="1A1E511A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</w:p>
    <w:p w14:paraId="181A0374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>A empresa não possui organograma formalizado, o que limita a visualização da estrutura organizacional, das responsabilidades e dos fluxos de decisão.</w:t>
      </w:r>
    </w:p>
    <w:p w14:paraId="390324AD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</w:p>
    <w:p w14:paraId="48A2C8C7" w14:textId="200398CA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 xml:space="preserve">Foi identificado apenas um procedimento operacional documentado denominado Fluxo Obrigatório de Faturamento e Expedição, voltado a uma atividade crítica da operação. Apesar de representar uma iniciativa importante de padronização, não </w:t>
      </w:r>
      <w:r w:rsidRPr="00913849">
        <w:rPr>
          <w:rFonts w:ascii="Arial" w:hAnsi="Arial" w:cs="Arial"/>
        </w:rPr>
        <w:lastRenderedPageBreak/>
        <w:t>foram identificados documentos equivalentes para os demais processos organizacionais.</w:t>
      </w:r>
    </w:p>
    <w:p w14:paraId="27FD6285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</w:p>
    <w:p w14:paraId="3EB95531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>A empresa utiliza o ERP Bling para gestão operacional e o Simples CRM para atividades comerciais, demonstrando utilização de ferramentas tecnológicas para suporte à operação.</w:t>
      </w:r>
    </w:p>
    <w:p w14:paraId="67062093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</w:p>
    <w:p w14:paraId="711C9731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>Foram apresentadas diretrizes organizacionais desenvolvidas por consultoria anterior, embora exista a expectativa de revisão e adaptação dessas definições ao momento atual da empresa.</w:t>
      </w:r>
    </w:p>
    <w:p w14:paraId="70E1334D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</w:p>
    <w:p w14:paraId="0A79FE99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>Em relação aos contratos empresariais, foi apresentado contrato com a empresa responsável pela segurança do trabalho. Contudo, diversos outros fornecedores e prestadores estratégicos foram mencionados sem que os respectivos contratos fossem disponibilizados para análise, incluindo serviços relacionados à contabilidade, marketing, cartão ponto, benefícios e análise de crédito.</w:t>
      </w:r>
    </w:p>
    <w:p w14:paraId="0528DD2C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</w:p>
    <w:p w14:paraId="0BB98D32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>Também foi apresentada documentação oriunda de consultoria anterior com foco em reposicionamento institucional e vendas.</w:t>
      </w:r>
    </w:p>
    <w:p w14:paraId="686A7115" w14:textId="77777777" w:rsidR="00913849" w:rsidRPr="00913849" w:rsidRDefault="00913849" w:rsidP="00913849">
      <w:pPr>
        <w:spacing w:after="0" w:line="360" w:lineRule="auto"/>
        <w:jc w:val="both"/>
        <w:rPr>
          <w:rFonts w:ascii="Arial" w:hAnsi="Arial" w:cs="Arial"/>
        </w:rPr>
      </w:pPr>
    </w:p>
    <w:p w14:paraId="24839655" w14:textId="56811C20" w:rsidR="0052704A" w:rsidRPr="00D56E30" w:rsidRDefault="00913849" w:rsidP="00913849">
      <w:pPr>
        <w:spacing w:after="0" w:line="360" w:lineRule="auto"/>
        <w:jc w:val="both"/>
        <w:rPr>
          <w:rFonts w:ascii="Arial" w:hAnsi="Arial" w:cs="Arial"/>
        </w:rPr>
      </w:pPr>
      <w:r w:rsidRPr="00913849">
        <w:rPr>
          <w:rFonts w:ascii="Arial" w:hAnsi="Arial" w:cs="Arial"/>
        </w:rPr>
        <w:t>De forma geral, a empresa demonstra iniciativas de organização operacional, porém ainda possui oportunidades relevantes para ampliação da formalização dos processos, estrutura organizacional e gestão contratual.</w:t>
      </w:r>
    </w:p>
    <w:p w14:paraId="7CBA06B4" w14:textId="77777777" w:rsidR="0052704A" w:rsidRDefault="0052704A" w:rsidP="00D56E30">
      <w:pPr>
        <w:spacing w:after="0" w:line="360" w:lineRule="auto"/>
        <w:jc w:val="both"/>
        <w:rPr>
          <w:rFonts w:ascii="Arial" w:hAnsi="Arial" w:cs="Arial"/>
        </w:rPr>
      </w:pPr>
    </w:p>
    <w:p w14:paraId="7E0F12EB" w14:textId="5F482C47" w:rsidR="0052704A" w:rsidRPr="00D02EBF" w:rsidRDefault="00A76ACC" w:rsidP="0052704A">
      <w:pPr>
        <w:pStyle w:val="Ttulo2"/>
        <w:ind w:left="426"/>
        <w:jc w:val="both"/>
      </w:pPr>
      <w:r>
        <w:t>Recursos Humanos</w:t>
      </w:r>
    </w:p>
    <w:p w14:paraId="5B78FC98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  <w:r w:rsidRPr="00F82189">
        <w:rPr>
          <w:rFonts w:ascii="Arial" w:hAnsi="Arial" w:cs="Arial"/>
        </w:rPr>
        <w:t>A documentação de recursos humanos apresenta nível intermediário de formalização.</w:t>
      </w:r>
    </w:p>
    <w:p w14:paraId="4B7F3560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</w:p>
    <w:p w14:paraId="6A2F7BC3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  <w:r w:rsidRPr="00F82189">
        <w:rPr>
          <w:rFonts w:ascii="Arial" w:hAnsi="Arial" w:cs="Arial"/>
        </w:rPr>
        <w:t>Foi disponibilizada relação atualizada dos colaboradores, contendo cargos definidos para os profissionais da organização. Também foram apresentados Código de Conduta e Ética e documento contendo as políticas de benefícios atualmente praticadas pela empresa.</w:t>
      </w:r>
    </w:p>
    <w:p w14:paraId="3AABEA84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</w:p>
    <w:p w14:paraId="70509B66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  <w:r w:rsidRPr="00F82189">
        <w:rPr>
          <w:rFonts w:ascii="Arial" w:hAnsi="Arial" w:cs="Arial"/>
        </w:rPr>
        <w:lastRenderedPageBreak/>
        <w:t>Por outro lado, não foram identificados instrumentos estruturados de gestão de pessoas, como plano de cargos e salários, manual de cargos e funções ou plano de carreira.</w:t>
      </w:r>
    </w:p>
    <w:p w14:paraId="5F6682E7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</w:p>
    <w:p w14:paraId="7AB8B2A7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  <w:r w:rsidRPr="00F82189">
        <w:rPr>
          <w:rFonts w:ascii="Arial" w:hAnsi="Arial" w:cs="Arial"/>
        </w:rPr>
        <w:t>Durante a análise, foi relatado que existem situações em que as funções efetivamente desempenhadas pelos colaboradores diferem dos cargos formalmente registrados, indicando possível necessidade de revisão e alinhamento da estrutura funcional.</w:t>
      </w:r>
    </w:p>
    <w:p w14:paraId="1AAAAF99" w14:textId="77777777" w:rsidR="00F82189" w:rsidRPr="00F82189" w:rsidRDefault="00F82189" w:rsidP="00F82189">
      <w:pPr>
        <w:spacing w:after="0" w:line="360" w:lineRule="auto"/>
        <w:jc w:val="both"/>
        <w:rPr>
          <w:rFonts w:ascii="Arial" w:hAnsi="Arial" w:cs="Arial"/>
        </w:rPr>
      </w:pPr>
    </w:p>
    <w:p w14:paraId="3F3AFDBB" w14:textId="211F4F09" w:rsidR="0052704A" w:rsidRDefault="00F82189" w:rsidP="00F82189">
      <w:pPr>
        <w:spacing w:after="0" w:line="360" w:lineRule="auto"/>
        <w:jc w:val="both"/>
        <w:rPr>
          <w:rFonts w:ascii="Arial" w:hAnsi="Arial" w:cs="Arial"/>
        </w:rPr>
      </w:pPr>
      <w:r w:rsidRPr="00F82189">
        <w:rPr>
          <w:rFonts w:ascii="Arial" w:hAnsi="Arial" w:cs="Arial"/>
        </w:rPr>
        <w:t>Embora a empresa possua instrumentos básicos de orientação comportamental e benefícios formalizados, a ausência de mecanismos estruturados para gestão de cargos e desenvolvimento profissional limita a evolução da área de pessoas e reduz a clareza sobre responsabilidades e critérios de crescimento interno.</w:t>
      </w:r>
    </w:p>
    <w:p w14:paraId="124455CE" w14:textId="77777777" w:rsidR="0052704A" w:rsidRPr="00D56E30" w:rsidRDefault="0052704A" w:rsidP="00D56E30">
      <w:pPr>
        <w:spacing w:after="0" w:line="360" w:lineRule="auto"/>
        <w:jc w:val="both"/>
        <w:rPr>
          <w:rFonts w:ascii="Arial" w:hAnsi="Arial" w:cs="Arial"/>
        </w:rPr>
      </w:pPr>
    </w:p>
    <w:p w14:paraId="716BCF9D" w14:textId="612A6D04" w:rsidR="00252BBE" w:rsidRPr="00D56E30" w:rsidRDefault="00252BBE" w:rsidP="00D56E30">
      <w:pPr>
        <w:pStyle w:val="Ttulo1"/>
        <w:jc w:val="both"/>
      </w:pPr>
      <w:r w:rsidRPr="00D56E30">
        <w:t>CONCLUSÃO</w:t>
      </w:r>
    </w:p>
    <w:p w14:paraId="713C0305" w14:textId="77777777" w:rsidR="00B55ABC" w:rsidRPr="00B55ABC" w:rsidRDefault="00B55ABC" w:rsidP="00B55ABC">
      <w:p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A documentação analisada demonstra que a Capital Química possui um nível de organização documental superior ao observado em empresas de porte semelhante, especialmente em razão das exigências regulatórias impostas pelo segmento químico e da disponibilidade de demonstrações contábeis, relatórios financeiros, licenças específicas e documentos de recursos humanos.</w:t>
      </w:r>
    </w:p>
    <w:p w14:paraId="264CC51D" w14:textId="77777777" w:rsidR="00B55ABC" w:rsidRPr="00B55ABC" w:rsidRDefault="00B55ABC" w:rsidP="00B55ABC">
      <w:p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Entretanto, a análise evidencia que a existência dos documentos não necessariamente se traduz em informações confiáveis para gestão. As principais fragilidades identificadas concentram-se na qualidade e consistência dos controles financeiros, na regularidade fiscal da empresa e na ausência de formalização mais ampla dos processos operacionais e da estrutura de cargos.</w:t>
      </w:r>
    </w:p>
    <w:p w14:paraId="6A32AB65" w14:textId="77777777" w:rsidR="00B55ABC" w:rsidRPr="00B55ABC" w:rsidRDefault="00B55ABC" w:rsidP="00B55ABC">
      <w:p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Observa-se uma empresa que apresenta crescimento operacional e atuação em múltiplos estados, porém com mecanismos de gestão que ainda demandam maior integração, padronização e confiabilidade para sustentar decisões estratégicas e reduzir riscos futuros.</w:t>
      </w:r>
    </w:p>
    <w:p w14:paraId="312C03E1" w14:textId="77777777" w:rsidR="00B55ABC" w:rsidRDefault="00B55ABC" w:rsidP="00B55ABC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34E634EF" w14:textId="073FAF12" w:rsidR="00B55ABC" w:rsidRPr="00B55ABC" w:rsidRDefault="00B55ABC" w:rsidP="00B55AB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B55ABC">
        <w:rPr>
          <w:rFonts w:ascii="Arial" w:hAnsi="Arial" w:cs="Arial"/>
          <w:b/>
          <w:bCs/>
        </w:rPr>
        <w:t>Aspectos Críticos Identificados</w:t>
      </w:r>
    </w:p>
    <w:p w14:paraId="7E89763C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Existência de passivo tributário relevante sem plano formal de regularização;</w:t>
      </w:r>
    </w:p>
    <w:p w14:paraId="7A89CB96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Débitos inscritos junto à SEFAZ, Receita Federal e Regularize;</w:t>
      </w:r>
    </w:p>
    <w:p w14:paraId="135439FF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lastRenderedPageBreak/>
        <w:t>Ausência de Certidão Federal;</w:t>
      </w:r>
    </w:p>
    <w:p w14:paraId="2141B2E5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Ausência de Alvará de Funcionamento, Vigilância Sanitária e Certificado de Conformidade dos Bombeiros;</w:t>
      </w:r>
    </w:p>
    <w:p w14:paraId="7078CB10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Baixa confiabilidade dos relatórios financeiros utilizados na gestão;</w:t>
      </w:r>
    </w:p>
    <w:p w14:paraId="651316C7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Problemas de parametrização, lançamentos e conciliações dos sistemas;</w:t>
      </w:r>
    </w:p>
    <w:p w14:paraId="285DB4C6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Utilização de controles paralelos para gestão da inadimplência;</w:t>
      </w:r>
    </w:p>
    <w:p w14:paraId="2DECD9A9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Inconsistências entre relatórios financeiros e contábeis;</w:t>
      </w:r>
    </w:p>
    <w:p w14:paraId="7266F80A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Ausência de controle formal de imobilizado;</w:t>
      </w:r>
    </w:p>
    <w:p w14:paraId="73469B0E" w14:textId="77777777" w:rsidR="00B55ABC" w:rsidRP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Ausência de organograma e de mapeamento formal dos processos organizacionais;</w:t>
      </w:r>
    </w:p>
    <w:p w14:paraId="76B75900" w14:textId="77777777" w:rsidR="00B55ABC" w:rsidRDefault="00B55ABC" w:rsidP="00B55ABC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Divergências identificadas entre cargos registrados e funções efetivamente exercidas.</w:t>
      </w:r>
    </w:p>
    <w:p w14:paraId="3C10FF29" w14:textId="77777777" w:rsidR="00B55ABC" w:rsidRPr="00B55ABC" w:rsidRDefault="00B55ABC" w:rsidP="00B55ABC">
      <w:pPr>
        <w:spacing w:after="0" w:line="360" w:lineRule="auto"/>
        <w:jc w:val="both"/>
        <w:rPr>
          <w:rFonts w:ascii="Arial" w:hAnsi="Arial" w:cs="Arial"/>
        </w:rPr>
      </w:pPr>
    </w:p>
    <w:p w14:paraId="72DE4B02" w14:textId="77777777" w:rsidR="00B55ABC" w:rsidRPr="00B55ABC" w:rsidRDefault="00B55ABC" w:rsidP="00B55AB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B55ABC">
        <w:rPr>
          <w:rFonts w:ascii="Arial" w:hAnsi="Arial" w:cs="Arial"/>
          <w:b/>
          <w:bCs/>
        </w:rPr>
        <w:t>Aspectos Positivos Observados</w:t>
      </w:r>
    </w:p>
    <w:p w14:paraId="54F08F3A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Demonstrações contábeis disponibilizadas integralmente;</w:t>
      </w:r>
    </w:p>
    <w:p w14:paraId="2BB37585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Utilização do regime de Lucro Real com suporte contábil estruturado;</w:t>
      </w:r>
    </w:p>
    <w:p w14:paraId="1EB033CE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Inscrições municipais e estaduais regulares;</w:t>
      </w:r>
    </w:p>
    <w:p w14:paraId="68C01A0F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Licenças específicas do segmento químico devidamente apresentadas;</w:t>
      </w:r>
    </w:p>
    <w:p w14:paraId="2CB4A271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Existência de controles financeiros formalmente implantados;</w:t>
      </w:r>
    </w:p>
    <w:p w14:paraId="28C89F98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Controle de estoque realizado por ERP;</w:t>
      </w:r>
    </w:p>
    <w:p w14:paraId="339F5C31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Existência de diretrizes organizacionais formalizadas;</w:t>
      </w:r>
    </w:p>
    <w:p w14:paraId="03A092B4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Código de Conduta e Ética implantado;</w:t>
      </w:r>
    </w:p>
    <w:p w14:paraId="4228C122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Relação de colaboradores organizada e documentada;</w:t>
      </w:r>
    </w:p>
    <w:p w14:paraId="3086029B" w14:textId="77777777" w:rsidR="00B55ABC" w:rsidRPr="00B55ABC" w:rsidRDefault="00B55ABC" w:rsidP="00B55ABC">
      <w:pPr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</w:rPr>
      </w:pPr>
      <w:r w:rsidRPr="00B55ABC">
        <w:rPr>
          <w:rFonts w:ascii="Arial" w:hAnsi="Arial" w:cs="Arial"/>
        </w:rPr>
        <w:t>Histórico de investimento em consultorias e iniciativas de melhoria.</w:t>
      </w:r>
    </w:p>
    <w:p w14:paraId="052B7D4C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75C50559" w14:textId="77777777" w:rsidR="00DC73E3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20A3299A" w14:textId="77777777" w:rsidR="00197113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7775E9D2" w14:textId="77777777" w:rsidR="00197113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7F5F2C7E" w14:textId="77777777" w:rsidR="00197113" w:rsidRPr="00D56E30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7508F971" w14:textId="77777777" w:rsidR="00795479" w:rsidRPr="00D56E30" w:rsidRDefault="00795479" w:rsidP="00795479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 xml:space="preserve">Goiânia/GO, </w:t>
      </w:r>
      <w:r>
        <w:rPr>
          <w:rFonts w:ascii="Arial" w:hAnsi="Arial" w:cs="Arial"/>
        </w:rPr>
        <w:t>08</w:t>
      </w:r>
      <w:r w:rsidRPr="00D56E30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Julho</w:t>
      </w:r>
      <w:r w:rsidRPr="00D56E30">
        <w:rPr>
          <w:rFonts w:ascii="Arial" w:hAnsi="Arial" w:cs="Arial"/>
        </w:rPr>
        <w:t xml:space="preserve"> de 2026.</w:t>
      </w:r>
    </w:p>
    <w:p w14:paraId="6F2EE5F2" w14:textId="77777777" w:rsidR="00EF5529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31233CD7" w14:textId="77777777" w:rsidR="00197113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02A87128" w14:textId="77777777" w:rsidR="00197113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77E3220B" w14:textId="77777777" w:rsidR="00197113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4C326DFF" w14:textId="77777777" w:rsidR="00197113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73CE8B76" w14:textId="77777777" w:rsidR="00197113" w:rsidRPr="00D56E30" w:rsidRDefault="00197113" w:rsidP="00D56E30">
      <w:pPr>
        <w:spacing w:after="0" w:line="360" w:lineRule="auto"/>
        <w:jc w:val="both"/>
        <w:rPr>
          <w:rFonts w:ascii="Arial" w:hAnsi="Arial" w:cs="Arial"/>
        </w:rPr>
      </w:pPr>
    </w:p>
    <w:p w14:paraId="75385FE9" w14:textId="2D4991F3" w:rsidR="00EF5529" w:rsidRPr="00D56E30" w:rsidRDefault="00C64E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07F0A337" w14:textId="2FE70CA4" w:rsidR="00C64E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Raiane da Cruz Vieira</w:t>
      </w:r>
    </w:p>
    <w:p w14:paraId="0EC4562C" w14:textId="402C8B81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Consultora Responsável</w:t>
      </w:r>
    </w:p>
    <w:p w14:paraId="1D2A9873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06272BAD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7C352A8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0B46C376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34C543D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0EC8248A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F2E73A9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417F6B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3C4C8A0E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5F590CAE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604F33" w14:textId="52CA73FB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42801478" w14:textId="4DDCC05A" w:rsidR="006556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Stela Anizia Rodrigues Alves</w:t>
      </w:r>
    </w:p>
    <w:p w14:paraId="77CB425F" w14:textId="3BD05600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Consultora Responsável</w:t>
      </w:r>
    </w:p>
    <w:p w14:paraId="4BBE3777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5B629AEF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70DEA05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7B9D118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1E975512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9E0A99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3809629A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2EA754BA" w14:textId="58996A9F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79B45AD3" w14:textId="77777777" w:rsidR="005A538C" w:rsidRPr="00D56E30" w:rsidRDefault="005A538C" w:rsidP="005A538C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E</w:t>
      </w:r>
      <w:r>
        <w:rPr>
          <w:rFonts w:ascii="Arial" w:hAnsi="Arial" w:cs="Arial"/>
        </w:rPr>
        <w:t>duardo Augusto de Campos Vaz</w:t>
      </w:r>
    </w:p>
    <w:p w14:paraId="170D58E0" w14:textId="77777777" w:rsidR="005A538C" w:rsidRPr="00D56E30" w:rsidRDefault="005A538C" w:rsidP="005A538C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Sócio Administrador</w:t>
      </w:r>
    </w:p>
    <w:p w14:paraId="7617458A" w14:textId="77777777" w:rsidR="005A538C" w:rsidRDefault="005A538C" w:rsidP="005A538C">
      <w:pPr>
        <w:spacing w:after="0" w:line="276" w:lineRule="auto"/>
        <w:jc w:val="center"/>
      </w:pPr>
      <w:r>
        <w:rPr>
          <w:rFonts w:ascii="Arial" w:hAnsi="Arial" w:cs="Arial"/>
        </w:rPr>
        <w:t>Capital Química Indústria e Comércio de Produtos Químicos LTDA</w:t>
      </w:r>
    </w:p>
    <w:p w14:paraId="18F1EF15" w14:textId="416924C4" w:rsidR="00EF5529" w:rsidRPr="00D56E30" w:rsidRDefault="00EF5529" w:rsidP="005A538C">
      <w:pPr>
        <w:spacing w:after="0" w:line="360" w:lineRule="auto"/>
        <w:jc w:val="center"/>
        <w:rPr>
          <w:rFonts w:ascii="Arial" w:hAnsi="Arial" w:cs="Arial"/>
        </w:rPr>
      </w:pPr>
    </w:p>
    <w:sectPr w:rsidR="00EF5529" w:rsidRPr="00D56E30" w:rsidSect="00334A66">
      <w:headerReference w:type="default" r:id="rId8"/>
      <w:footerReference w:type="default" r:id="rId9"/>
      <w:pgSz w:w="11910" w:h="16845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C4BE" w14:textId="77777777" w:rsidR="005F34EB" w:rsidRDefault="005F34EB" w:rsidP="007C63C5">
      <w:pPr>
        <w:spacing w:after="0" w:line="240" w:lineRule="auto"/>
      </w:pPr>
      <w:r>
        <w:separator/>
      </w:r>
    </w:p>
  </w:endnote>
  <w:endnote w:type="continuationSeparator" w:id="0">
    <w:p w14:paraId="3708CFBB" w14:textId="77777777" w:rsidR="005F34EB" w:rsidRDefault="005F34EB" w:rsidP="007C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7911ECB-3BB0-4827-84E9-AB393535BF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1ACC5B6E-A012-402E-81D7-6A7A14739C57}"/>
    <w:embedItalic r:id="rId3" w:fontKey="{C62A65D4-B963-4D90-9C86-AD08D1012AE8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4" w:fontKey="{789A660E-5347-4F95-AB69-22A703B293E5}"/>
  </w:font>
  <w:font w:name="Cavolini">
    <w:charset w:val="00"/>
    <w:family w:val="script"/>
    <w:pitch w:val="variable"/>
    <w:sig w:usb0="A11526FF" w:usb1="8000000A" w:usb2="00010000" w:usb3="00000000" w:csb0="0000019F" w:csb1="00000000"/>
    <w:embedBold r:id="rId5" w:fontKey="{0F49E34B-F146-4782-BEC4-7E6D03BE3206}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Bold r:id="rId6" w:fontKey="{61529845-C572-40CF-938B-C4E8986CB39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7" w:fontKey="{1EB00F07-1D56-4008-BCDE-91F4049530AE}"/>
    <w:embedBold r:id="rId8" w:fontKey="{1A9FBDE8-7570-460A-91CA-BD3D0A7D7251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9" w:fontKey="{F16E5EE7-2A2B-4C30-9B44-04AC449386F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EA19C2BD-62F6-48D9-B739-65FC1170B9C8}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B7CB67F2-5782-4486-8D36-C254AE783B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739672"/>
      <w:docPartObj>
        <w:docPartGallery w:val="Page Numbers (Bottom of Page)"/>
        <w:docPartUnique/>
      </w:docPartObj>
    </w:sdtPr>
    <w:sdtContent>
      <w:p w14:paraId="11B21735" w14:textId="173D5F0D" w:rsidR="00A7351E" w:rsidRDefault="00A7351E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2B15E60" wp14:editId="01999A9B">
              <wp:simplePos x="0" y="0"/>
              <wp:positionH relativeFrom="page">
                <wp:posOffset>-1905</wp:posOffset>
              </wp:positionH>
              <wp:positionV relativeFrom="page">
                <wp:posOffset>10137140</wp:posOffset>
              </wp:positionV>
              <wp:extent cx="7562850" cy="699135"/>
              <wp:effectExtent l="0" t="0" r="0" b="0"/>
              <wp:wrapTopAndBottom/>
              <wp:docPr id="764023030" name="Drawing 0" descr="1759f2fea-33e8-4942-82ea-6465f910ac36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0" descr="1759f2fea-33e8-4942-82ea-6465f910ac36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69186"/>
                      <a:stretch/>
                    </pic:blipFill>
                    <pic:spPr bwMode="auto">
                      <a:xfrm>
                        <a:off x="0" y="0"/>
                        <a:ext cx="7562850" cy="69913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V relativeFrom="margin">
                <wp14:pctHeight>0</wp14:pctHeight>
              </wp14:sizeRelV>
            </wp:anchor>
          </w:drawing>
        </w:r>
        <w:r>
          <w:t xml:space="preserve">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ACBBE" w14:textId="024766F5" w:rsidR="00A7351E" w:rsidRDefault="00A73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47C62" w14:textId="77777777" w:rsidR="005F34EB" w:rsidRDefault="005F34EB" w:rsidP="007C63C5">
      <w:pPr>
        <w:spacing w:after="0" w:line="240" w:lineRule="auto"/>
      </w:pPr>
      <w:r>
        <w:separator/>
      </w:r>
    </w:p>
  </w:footnote>
  <w:footnote w:type="continuationSeparator" w:id="0">
    <w:p w14:paraId="35827F53" w14:textId="77777777" w:rsidR="005F34EB" w:rsidRDefault="005F34EB" w:rsidP="007C6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2033" w14:textId="32932E9D" w:rsidR="007C63C5" w:rsidRDefault="007C63C5">
    <w:pPr>
      <w:pStyle w:val="Cabealh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537001E5" wp14:editId="2532B32F">
          <wp:simplePos x="0" y="0"/>
          <wp:positionH relativeFrom="page">
            <wp:posOffset>-1905</wp:posOffset>
          </wp:positionH>
          <wp:positionV relativeFrom="page">
            <wp:posOffset>7620</wp:posOffset>
          </wp:positionV>
          <wp:extent cx="7562850" cy="929640"/>
          <wp:effectExtent l="0" t="0" r="0" b="0"/>
          <wp:wrapTopAndBottom/>
          <wp:docPr id="909020967" name="Drawing 0" descr="1ce17f196-4432-4219-a0c8-13f57dd17f7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ce17f196-4432-4219-a0c8-13f57dd17f77.png"/>
                  <pic:cNvPicPr>
                    <a:picLocks noChangeAspect="1"/>
                  </pic:cNvPicPr>
                </pic:nvPicPr>
                <pic:blipFill rotWithShape="1">
                  <a:blip r:embed="rId1"/>
                  <a:srcRect b="59026"/>
                  <a:stretch/>
                </pic:blipFill>
                <pic:spPr bwMode="auto">
                  <a:xfrm>
                    <a:off x="0" y="0"/>
                    <a:ext cx="7562850" cy="929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901"/>
    <w:multiLevelType w:val="multilevel"/>
    <w:tmpl w:val="8236F9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B82C9D"/>
    <w:multiLevelType w:val="multilevel"/>
    <w:tmpl w:val="63F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43A0"/>
    <w:multiLevelType w:val="multilevel"/>
    <w:tmpl w:val="2F2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3B6"/>
    <w:multiLevelType w:val="multilevel"/>
    <w:tmpl w:val="86D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1FC9"/>
    <w:multiLevelType w:val="multilevel"/>
    <w:tmpl w:val="3B3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D5C49"/>
    <w:multiLevelType w:val="multilevel"/>
    <w:tmpl w:val="5A4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29B9"/>
    <w:multiLevelType w:val="multilevel"/>
    <w:tmpl w:val="BE2C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43848"/>
    <w:multiLevelType w:val="multilevel"/>
    <w:tmpl w:val="31DC159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E42B72"/>
    <w:multiLevelType w:val="multilevel"/>
    <w:tmpl w:val="8C3C7B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PargrafodaList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214CB"/>
    <w:multiLevelType w:val="multilevel"/>
    <w:tmpl w:val="D28E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D3677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D631E"/>
    <w:multiLevelType w:val="multilevel"/>
    <w:tmpl w:val="8154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90AFC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50F13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55595"/>
    <w:multiLevelType w:val="multilevel"/>
    <w:tmpl w:val="F71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56769"/>
    <w:multiLevelType w:val="multilevel"/>
    <w:tmpl w:val="FE8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C5D1C"/>
    <w:multiLevelType w:val="multilevel"/>
    <w:tmpl w:val="8CD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08022">
    <w:abstractNumId w:val="0"/>
  </w:num>
  <w:num w:numId="2" w16cid:durableId="2021590113">
    <w:abstractNumId w:val="8"/>
  </w:num>
  <w:num w:numId="3" w16cid:durableId="2015643503">
    <w:abstractNumId w:val="7"/>
  </w:num>
  <w:num w:numId="4" w16cid:durableId="179468646">
    <w:abstractNumId w:val="2"/>
  </w:num>
  <w:num w:numId="5" w16cid:durableId="993803765">
    <w:abstractNumId w:val="1"/>
  </w:num>
  <w:num w:numId="6" w16cid:durableId="515927794">
    <w:abstractNumId w:val="4"/>
  </w:num>
  <w:num w:numId="7" w16cid:durableId="1072117760">
    <w:abstractNumId w:val="3"/>
  </w:num>
  <w:num w:numId="8" w16cid:durableId="68697072">
    <w:abstractNumId w:val="5"/>
  </w:num>
  <w:num w:numId="9" w16cid:durableId="1595242646">
    <w:abstractNumId w:val="9"/>
  </w:num>
  <w:num w:numId="10" w16cid:durableId="106511627">
    <w:abstractNumId w:val="14"/>
  </w:num>
  <w:num w:numId="11" w16cid:durableId="428083850">
    <w:abstractNumId w:val="6"/>
  </w:num>
  <w:num w:numId="12" w16cid:durableId="968321591">
    <w:abstractNumId w:val="16"/>
  </w:num>
  <w:num w:numId="13" w16cid:durableId="384335797">
    <w:abstractNumId w:val="13"/>
  </w:num>
  <w:num w:numId="14" w16cid:durableId="1843929798">
    <w:abstractNumId w:val="12"/>
  </w:num>
  <w:num w:numId="15" w16cid:durableId="1436748963">
    <w:abstractNumId w:val="8"/>
  </w:num>
  <w:num w:numId="16" w16cid:durableId="1211383896">
    <w:abstractNumId w:val="8"/>
  </w:num>
  <w:num w:numId="17" w16cid:durableId="1024671734">
    <w:abstractNumId w:val="8"/>
  </w:num>
  <w:num w:numId="18" w16cid:durableId="772894019">
    <w:abstractNumId w:val="10"/>
  </w:num>
  <w:num w:numId="19" w16cid:durableId="1087462255">
    <w:abstractNumId w:val="11"/>
  </w:num>
  <w:num w:numId="20" w16cid:durableId="854269183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0A6"/>
    <w:rsid w:val="000424D0"/>
    <w:rsid w:val="00042A4D"/>
    <w:rsid w:val="00072AB9"/>
    <w:rsid w:val="000A01F9"/>
    <w:rsid w:val="000B1A29"/>
    <w:rsid w:val="000D4C56"/>
    <w:rsid w:val="000E4797"/>
    <w:rsid w:val="000F60B3"/>
    <w:rsid w:val="00123744"/>
    <w:rsid w:val="00143ACE"/>
    <w:rsid w:val="00147D6C"/>
    <w:rsid w:val="0015088E"/>
    <w:rsid w:val="00170B83"/>
    <w:rsid w:val="00182EE4"/>
    <w:rsid w:val="00186576"/>
    <w:rsid w:val="001937E5"/>
    <w:rsid w:val="00197113"/>
    <w:rsid w:val="001C68E9"/>
    <w:rsid w:val="001F3E02"/>
    <w:rsid w:val="001F6373"/>
    <w:rsid w:val="00225DF8"/>
    <w:rsid w:val="002356CE"/>
    <w:rsid w:val="00252BBE"/>
    <w:rsid w:val="00266DDD"/>
    <w:rsid w:val="002703CE"/>
    <w:rsid w:val="002728C4"/>
    <w:rsid w:val="00276797"/>
    <w:rsid w:val="00277CC5"/>
    <w:rsid w:val="0029313C"/>
    <w:rsid w:val="002B6F1A"/>
    <w:rsid w:val="002C6431"/>
    <w:rsid w:val="002D206B"/>
    <w:rsid w:val="00312200"/>
    <w:rsid w:val="00334A66"/>
    <w:rsid w:val="0034350E"/>
    <w:rsid w:val="0035388C"/>
    <w:rsid w:val="00384E9F"/>
    <w:rsid w:val="003A2553"/>
    <w:rsid w:val="003A2578"/>
    <w:rsid w:val="003C46BD"/>
    <w:rsid w:val="004062D4"/>
    <w:rsid w:val="00407A2C"/>
    <w:rsid w:val="00416E11"/>
    <w:rsid w:val="00440A75"/>
    <w:rsid w:val="004459DA"/>
    <w:rsid w:val="00450B61"/>
    <w:rsid w:val="00472977"/>
    <w:rsid w:val="004B7BDA"/>
    <w:rsid w:val="004F0B1F"/>
    <w:rsid w:val="004F4D07"/>
    <w:rsid w:val="00500013"/>
    <w:rsid w:val="0052704A"/>
    <w:rsid w:val="00532FED"/>
    <w:rsid w:val="0053393C"/>
    <w:rsid w:val="00571483"/>
    <w:rsid w:val="00581598"/>
    <w:rsid w:val="0058656C"/>
    <w:rsid w:val="005904B6"/>
    <w:rsid w:val="005A538C"/>
    <w:rsid w:val="005B0608"/>
    <w:rsid w:val="005D6F5A"/>
    <w:rsid w:val="005F0C40"/>
    <w:rsid w:val="005F34EB"/>
    <w:rsid w:val="006000D1"/>
    <w:rsid w:val="00601295"/>
    <w:rsid w:val="00605242"/>
    <w:rsid w:val="006062F9"/>
    <w:rsid w:val="00637449"/>
    <w:rsid w:val="006527A5"/>
    <w:rsid w:val="006556F4"/>
    <w:rsid w:val="00655E35"/>
    <w:rsid w:val="00676564"/>
    <w:rsid w:val="0069566E"/>
    <w:rsid w:val="006A4242"/>
    <w:rsid w:val="006E5CD0"/>
    <w:rsid w:val="006F0611"/>
    <w:rsid w:val="006F38B4"/>
    <w:rsid w:val="007077A3"/>
    <w:rsid w:val="0072403E"/>
    <w:rsid w:val="0073282D"/>
    <w:rsid w:val="007578C8"/>
    <w:rsid w:val="0076496C"/>
    <w:rsid w:val="007724E8"/>
    <w:rsid w:val="00795479"/>
    <w:rsid w:val="007A7E46"/>
    <w:rsid w:val="007B721B"/>
    <w:rsid w:val="007C2043"/>
    <w:rsid w:val="007C63C5"/>
    <w:rsid w:val="007D60D1"/>
    <w:rsid w:val="007F486C"/>
    <w:rsid w:val="0081551D"/>
    <w:rsid w:val="008453C1"/>
    <w:rsid w:val="0087313A"/>
    <w:rsid w:val="008A5F31"/>
    <w:rsid w:val="008B7F95"/>
    <w:rsid w:val="008C2C82"/>
    <w:rsid w:val="008D0F27"/>
    <w:rsid w:val="008D1999"/>
    <w:rsid w:val="008D5610"/>
    <w:rsid w:val="008E44FE"/>
    <w:rsid w:val="00907C4B"/>
    <w:rsid w:val="00913849"/>
    <w:rsid w:val="00920050"/>
    <w:rsid w:val="00926AA7"/>
    <w:rsid w:val="00935F6E"/>
    <w:rsid w:val="0095503D"/>
    <w:rsid w:val="00964849"/>
    <w:rsid w:val="00971D21"/>
    <w:rsid w:val="00977500"/>
    <w:rsid w:val="009C47A5"/>
    <w:rsid w:val="009E1293"/>
    <w:rsid w:val="009E2709"/>
    <w:rsid w:val="009F3712"/>
    <w:rsid w:val="009F721B"/>
    <w:rsid w:val="00A04BA2"/>
    <w:rsid w:val="00A071C8"/>
    <w:rsid w:val="00A1685F"/>
    <w:rsid w:val="00A36356"/>
    <w:rsid w:val="00A60F41"/>
    <w:rsid w:val="00A67DCE"/>
    <w:rsid w:val="00A7351E"/>
    <w:rsid w:val="00A76ACC"/>
    <w:rsid w:val="00A830C3"/>
    <w:rsid w:val="00A9393B"/>
    <w:rsid w:val="00AA0FB1"/>
    <w:rsid w:val="00AA5082"/>
    <w:rsid w:val="00AC7B25"/>
    <w:rsid w:val="00AD2DA7"/>
    <w:rsid w:val="00AE78DC"/>
    <w:rsid w:val="00B003FA"/>
    <w:rsid w:val="00B55ABC"/>
    <w:rsid w:val="00B7269D"/>
    <w:rsid w:val="00C130E7"/>
    <w:rsid w:val="00C309B8"/>
    <w:rsid w:val="00C316DE"/>
    <w:rsid w:val="00C319F3"/>
    <w:rsid w:val="00C50574"/>
    <w:rsid w:val="00C6106C"/>
    <w:rsid w:val="00C64EF4"/>
    <w:rsid w:val="00C74EB2"/>
    <w:rsid w:val="00C802F4"/>
    <w:rsid w:val="00C94169"/>
    <w:rsid w:val="00C94B77"/>
    <w:rsid w:val="00C96590"/>
    <w:rsid w:val="00CA7E5D"/>
    <w:rsid w:val="00CB1305"/>
    <w:rsid w:val="00CD71DA"/>
    <w:rsid w:val="00CF47C0"/>
    <w:rsid w:val="00D02EBF"/>
    <w:rsid w:val="00D258B9"/>
    <w:rsid w:val="00D3310F"/>
    <w:rsid w:val="00D33F52"/>
    <w:rsid w:val="00D354F1"/>
    <w:rsid w:val="00D56E30"/>
    <w:rsid w:val="00D805E6"/>
    <w:rsid w:val="00D94024"/>
    <w:rsid w:val="00D970A6"/>
    <w:rsid w:val="00DA1A04"/>
    <w:rsid w:val="00DA6F61"/>
    <w:rsid w:val="00DA75D6"/>
    <w:rsid w:val="00DB4015"/>
    <w:rsid w:val="00DB4688"/>
    <w:rsid w:val="00DB5416"/>
    <w:rsid w:val="00DC73E3"/>
    <w:rsid w:val="00DD34D7"/>
    <w:rsid w:val="00DF4380"/>
    <w:rsid w:val="00E06212"/>
    <w:rsid w:val="00E22DCD"/>
    <w:rsid w:val="00E51D89"/>
    <w:rsid w:val="00E6771A"/>
    <w:rsid w:val="00E92D3E"/>
    <w:rsid w:val="00E95551"/>
    <w:rsid w:val="00EA2A01"/>
    <w:rsid w:val="00EB251D"/>
    <w:rsid w:val="00EB41E4"/>
    <w:rsid w:val="00EB5BA1"/>
    <w:rsid w:val="00ED66AB"/>
    <w:rsid w:val="00EE0C08"/>
    <w:rsid w:val="00EE5460"/>
    <w:rsid w:val="00EF3F68"/>
    <w:rsid w:val="00EF5529"/>
    <w:rsid w:val="00EF722C"/>
    <w:rsid w:val="00F0421D"/>
    <w:rsid w:val="00F15C44"/>
    <w:rsid w:val="00F369FA"/>
    <w:rsid w:val="00F72185"/>
    <w:rsid w:val="00F7360E"/>
    <w:rsid w:val="00F81E18"/>
    <w:rsid w:val="00F82189"/>
    <w:rsid w:val="00F92C46"/>
    <w:rsid w:val="00F960EE"/>
    <w:rsid w:val="00FA1BA9"/>
    <w:rsid w:val="00FB3ECC"/>
    <w:rsid w:val="00FC7C4D"/>
    <w:rsid w:val="00FD63BB"/>
    <w:rsid w:val="00FE0992"/>
    <w:rsid w:val="00FE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F4092"/>
  <w15:docId w15:val="{553D5300-DF26-40B7-B2D3-EEA549A6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7A5"/>
    <w:pPr>
      <w:keepNext/>
      <w:keepLines/>
      <w:numPr>
        <w:numId w:val="3"/>
      </w:numPr>
      <w:spacing w:after="0" w:line="360" w:lineRule="auto"/>
      <w:outlineLvl w:val="0"/>
    </w:pPr>
    <w:rPr>
      <w:rFonts w:ascii="Arial" w:eastAsiaTheme="majorEastAsia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47A5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Arial" w:eastAsiaTheme="majorEastAsia" w:hAnsi="Arial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63BB"/>
    <w:pPr>
      <w:keepNext/>
      <w:keepLines/>
      <w:numPr>
        <w:ilvl w:val="2"/>
        <w:numId w:val="3"/>
      </w:numPr>
      <w:spacing w:after="0" w:line="360" w:lineRule="auto"/>
      <w:ind w:left="567" w:hanging="567"/>
      <w:outlineLvl w:val="2"/>
    </w:pPr>
    <w:rPr>
      <w:rFonts w:ascii="Arial" w:eastAsiaTheme="majorEastAsia" w:hAnsi="Arial" w:cs="Arial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1D21"/>
    <w:pPr>
      <w:keepNext/>
      <w:keepLines/>
      <w:numPr>
        <w:ilvl w:val="3"/>
        <w:numId w:val="1"/>
      </w:numPr>
      <w:spacing w:before="40" w:after="0"/>
      <w:outlineLvl w:val="3"/>
    </w:pPr>
    <w:rPr>
      <w:rFonts w:ascii="Arial" w:eastAsiaTheme="majorEastAsia" w:hAnsi="Arial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0621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33244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0621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721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0621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21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21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63C5"/>
  </w:style>
  <w:style w:type="paragraph" w:styleId="Rodap">
    <w:name w:val="footer"/>
    <w:basedOn w:val="Normal"/>
    <w:link w:val="Rodap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63C5"/>
  </w:style>
  <w:style w:type="character" w:customStyle="1" w:styleId="Ttulo1Char">
    <w:name w:val="Título 1 Char"/>
    <w:basedOn w:val="Fontepargpadro"/>
    <w:link w:val="Ttulo1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D63BB"/>
    <w:rPr>
      <w:rFonts w:ascii="Arial" w:eastAsiaTheme="majorEastAsia" w:hAnsi="Arial" w:cs="Arial"/>
    </w:rPr>
  </w:style>
  <w:style w:type="character" w:customStyle="1" w:styleId="Ttulo4Char">
    <w:name w:val="Título 4 Char"/>
    <w:basedOn w:val="Fontepargpadro"/>
    <w:link w:val="Ttulo4"/>
    <w:uiPriority w:val="9"/>
    <w:rsid w:val="00971D21"/>
    <w:rPr>
      <w:rFonts w:ascii="Arial" w:eastAsiaTheme="majorEastAsia" w:hAnsi="Arial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00E06212"/>
    <w:rPr>
      <w:rFonts w:asciiTheme="majorHAnsi" w:eastAsiaTheme="majorEastAsia" w:hAnsiTheme="majorHAnsi" w:cstheme="majorBidi"/>
      <w:color w:val="233244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E06212"/>
    <w:rPr>
      <w:rFonts w:asciiTheme="majorHAnsi" w:eastAsiaTheme="majorEastAsia" w:hAnsiTheme="majorHAnsi" w:cstheme="majorBidi"/>
      <w:color w:val="1721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06212"/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2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2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8D0F27"/>
    <w:pPr>
      <w:numPr>
        <w:ilvl w:val="1"/>
        <w:numId w:val="2"/>
      </w:numPr>
      <w:spacing w:after="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RV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F445C"/>
      </a:accent1>
      <a:accent2>
        <a:srgbClr val="9D8569"/>
      </a:accent2>
      <a:accent3>
        <a:srgbClr val="78AEC2"/>
      </a:accent3>
      <a:accent4>
        <a:srgbClr val="C8C6C6"/>
      </a:accent4>
      <a:accent5>
        <a:srgbClr val="E7E6E6"/>
      </a:accent5>
      <a:accent6>
        <a:srgbClr val="F2F2F2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00D4-DD5B-4643-97EB-36365A481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1887</Words>
  <Characters>10194</Characters>
  <Application>Microsoft Office Word</Application>
  <DocSecurity>0</DocSecurity>
  <Lines>84</Lines>
  <Paragraphs>24</Paragraphs>
  <ScaleCrop>false</ScaleCrop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Lemmi Consultoria</cp:lastModifiedBy>
  <cp:revision>175</cp:revision>
  <dcterms:created xsi:type="dcterms:W3CDTF">2025-04-15T17:12:00Z</dcterms:created>
  <dcterms:modified xsi:type="dcterms:W3CDTF">2026-06-30T19:34:00Z</dcterms:modified>
</cp:coreProperties>
</file>