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41E" w14:textId="7DB98925" w:rsidR="006E5CD0" w:rsidRPr="008E25F6" w:rsidRDefault="006E5CD0" w:rsidP="00F0421D">
      <w:pPr>
        <w:spacing w:after="0" w:line="240" w:lineRule="auto"/>
        <w:ind w:left="-284"/>
        <w:jc w:val="both"/>
        <w:rPr>
          <w:rFonts w:ascii="Bodoni MT" w:hAnsi="Bodoni MT" w:cs="Open Sans"/>
          <w:b/>
          <w:bCs/>
          <w:sz w:val="40"/>
          <w:szCs w:val="40"/>
        </w:rPr>
      </w:pPr>
      <w:r w:rsidRPr="008E25F6">
        <w:rPr>
          <w:rFonts w:ascii="Congenial" w:hAnsi="Congenial" w:cs="Cavolini"/>
          <w:b/>
          <w:bCs/>
          <w:color w:val="9D8569" w:themeColor="accent2"/>
          <w:sz w:val="56"/>
          <w:szCs w:val="56"/>
        </w:rPr>
        <w:t>&gt;</w:t>
      </w:r>
      <w:r w:rsidR="00DC73E3" w:rsidRPr="00C130E7">
        <w:rPr>
          <w:rFonts w:ascii="Georgia" w:hAnsi="Georgia" w:cs="Open Sans"/>
          <w:b/>
          <w:bCs/>
          <w:sz w:val="52"/>
          <w:szCs w:val="52"/>
        </w:rPr>
        <w:t>DIAGNÓSTICO EMPRESARIAL</w:t>
      </w:r>
    </w:p>
    <w:p w14:paraId="11055D77" w14:textId="66C85D3A" w:rsidR="0069566E" w:rsidRDefault="00D258B9" w:rsidP="00F0421D">
      <w:pPr>
        <w:spacing w:after="0" w:line="360" w:lineRule="auto"/>
        <w:jc w:val="both"/>
        <w:rPr>
          <w:rFonts w:ascii="Verdana" w:hAnsi="Verdana" w:cs="Open Sans"/>
          <w:sz w:val="32"/>
          <w:szCs w:val="32"/>
        </w:rPr>
      </w:pPr>
      <w:r w:rsidRPr="00C130E7">
        <w:rPr>
          <w:rFonts w:ascii="Verdana" w:hAnsi="Verdana" w:cs="Open Sans"/>
          <w:sz w:val="32"/>
          <w:szCs w:val="32"/>
        </w:rPr>
        <w:t xml:space="preserve">RELATÓRIO </w:t>
      </w:r>
      <w:r w:rsidR="00F73946">
        <w:rPr>
          <w:rFonts w:ascii="Verdana" w:hAnsi="Verdana" w:cs="Open Sans"/>
          <w:sz w:val="32"/>
          <w:szCs w:val="32"/>
        </w:rPr>
        <w:t>TÉCNICO DE RECOMENDAÇÕES PARA IMPLEMENTAÇÃO</w:t>
      </w:r>
    </w:p>
    <w:p w14:paraId="6ED48369" w14:textId="77777777" w:rsidR="00F73946" w:rsidRPr="00F73946" w:rsidRDefault="00F73946" w:rsidP="00F0421D">
      <w:pPr>
        <w:spacing w:after="0" w:line="360" w:lineRule="auto"/>
        <w:jc w:val="both"/>
        <w:rPr>
          <w:rFonts w:ascii="Arial" w:hAnsi="Arial" w:cs="Arial"/>
        </w:rPr>
      </w:pPr>
    </w:p>
    <w:p w14:paraId="531003C1" w14:textId="77777777" w:rsidR="00E22C8A" w:rsidRDefault="00E22C8A" w:rsidP="00E22C8A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Empresa: </w:t>
      </w:r>
      <w:r>
        <w:rPr>
          <w:rFonts w:ascii="Arial" w:hAnsi="Arial" w:cs="Arial"/>
        </w:rPr>
        <w:t>Capital Química Indústria e Comércio de Produtos Químicos LTDA</w:t>
      </w:r>
    </w:p>
    <w:p w14:paraId="286CD40A" w14:textId="77777777" w:rsidR="00E22C8A" w:rsidRDefault="00E22C8A" w:rsidP="00E22C8A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CNPJ: </w:t>
      </w:r>
      <w:r>
        <w:rPr>
          <w:rFonts w:ascii="Arial" w:hAnsi="Arial" w:cs="Arial"/>
        </w:rPr>
        <w:t>23.202.193/0001-69</w:t>
      </w:r>
    </w:p>
    <w:p w14:paraId="2C699A88" w14:textId="77777777" w:rsidR="00D258B9" w:rsidRDefault="00D258B9" w:rsidP="00F0421D">
      <w:pPr>
        <w:spacing w:after="0" w:line="276" w:lineRule="auto"/>
        <w:jc w:val="both"/>
        <w:rPr>
          <w:spacing w:val="-2"/>
        </w:rPr>
      </w:pPr>
      <w:r>
        <w:rPr>
          <w:rFonts w:ascii="Arial Black"/>
          <w:spacing w:val="-2"/>
        </w:rPr>
        <w:t>Consultoria:</w:t>
      </w:r>
      <w:r>
        <w:rPr>
          <w:rFonts w:ascii="Arial Black"/>
          <w:spacing w:val="-13"/>
        </w:rPr>
        <w:t xml:space="preserve"> </w:t>
      </w:r>
      <w:r w:rsidRPr="00492F74">
        <w:rPr>
          <w:rFonts w:ascii="Arial" w:hAnsi="Arial" w:cs="Arial"/>
        </w:rPr>
        <w:t>R&amp;V Consultores Associados</w:t>
      </w:r>
    </w:p>
    <w:p w14:paraId="16DB9B2B" w14:textId="77777777" w:rsidR="00384E9F" w:rsidRDefault="00384E9F" w:rsidP="00D56E30">
      <w:pPr>
        <w:spacing w:after="0" w:line="360" w:lineRule="auto"/>
        <w:jc w:val="both"/>
        <w:rPr>
          <w:rFonts w:ascii="Arial" w:hAnsi="Arial" w:cs="Arial"/>
        </w:rPr>
      </w:pPr>
    </w:p>
    <w:p w14:paraId="6914EC85" w14:textId="0A4A8817" w:rsidR="00252BBE" w:rsidRPr="00D56E30" w:rsidRDefault="00252BBE" w:rsidP="00D56E30">
      <w:pPr>
        <w:pStyle w:val="Ttulo1"/>
        <w:jc w:val="both"/>
      </w:pPr>
      <w:r w:rsidRPr="00D56E30">
        <w:t>INTRODUÇÃO</w:t>
      </w:r>
    </w:p>
    <w:p w14:paraId="0695F8DE" w14:textId="77777777" w:rsidR="007440C8" w:rsidRPr="007440C8" w:rsidRDefault="007440C8" w:rsidP="007440C8">
      <w:pPr>
        <w:spacing w:after="0" w:line="360" w:lineRule="auto"/>
        <w:jc w:val="both"/>
        <w:rPr>
          <w:rFonts w:ascii="Arial" w:hAnsi="Arial" w:cs="Arial"/>
        </w:rPr>
      </w:pPr>
      <w:r w:rsidRPr="007440C8">
        <w:rPr>
          <w:rFonts w:ascii="Arial" w:hAnsi="Arial" w:cs="Arial"/>
        </w:rPr>
        <w:t>Este relatório consolida as recomendações técnicas decorrentes das análises realizadas no âmbito do Diagnóstico Empresarial da Capital Química, empresa atuante na distribuição atacadista e no fracionamento de matérias-primas químicas.</w:t>
      </w:r>
    </w:p>
    <w:p w14:paraId="42791658" w14:textId="77777777" w:rsidR="007440C8" w:rsidRPr="007440C8" w:rsidRDefault="007440C8" w:rsidP="007440C8">
      <w:pPr>
        <w:spacing w:after="0" w:line="360" w:lineRule="auto"/>
        <w:jc w:val="both"/>
        <w:rPr>
          <w:rFonts w:ascii="Arial" w:hAnsi="Arial" w:cs="Arial"/>
        </w:rPr>
      </w:pPr>
    </w:p>
    <w:p w14:paraId="3A5B0290" w14:textId="77777777" w:rsidR="007440C8" w:rsidRPr="007440C8" w:rsidRDefault="007440C8" w:rsidP="007440C8">
      <w:pPr>
        <w:spacing w:after="0" w:line="360" w:lineRule="auto"/>
        <w:jc w:val="both"/>
        <w:rPr>
          <w:rFonts w:ascii="Arial" w:hAnsi="Arial" w:cs="Arial"/>
        </w:rPr>
      </w:pPr>
      <w:r w:rsidRPr="007440C8">
        <w:rPr>
          <w:rFonts w:ascii="Arial" w:hAnsi="Arial" w:cs="Arial"/>
        </w:rPr>
        <w:t>A leitura integrada dos relatórios evidenciou oportunidades relevantes relacionadas à regularização tributária e documental, à confiabilidade das informações financeiras, à formalização dos processos operacionais, à integração entre áreas, ao fortalecimento da liderança e à estruturação da gestão comercial.</w:t>
      </w:r>
    </w:p>
    <w:p w14:paraId="507E2AEC" w14:textId="77777777" w:rsidR="007440C8" w:rsidRPr="007440C8" w:rsidRDefault="007440C8" w:rsidP="007440C8">
      <w:pPr>
        <w:spacing w:after="0" w:line="360" w:lineRule="auto"/>
        <w:jc w:val="both"/>
        <w:rPr>
          <w:rFonts w:ascii="Arial" w:hAnsi="Arial" w:cs="Arial"/>
        </w:rPr>
      </w:pPr>
    </w:p>
    <w:p w14:paraId="6AA29CF6" w14:textId="13418D0F" w:rsidR="00DC73E3" w:rsidRPr="00D56E30" w:rsidRDefault="007440C8" w:rsidP="007440C8">
      <w:pPr>
        <w:spacing w:after="0" w:line="360" w:lineRule="auto"/>
        <w:jc w:val="both"/>
        <w:rPr>
          <w:rFonts w:ascii="Arial" w:hAnsi="Arial" w:cs="Arial"/>
        </w:rPr>
      </w:pPr>
      <w:r w:rsidRPr="007440C8">
        <w:rPr>
          <w:rFonts w:ascii="Arial" w:hAnsi="Arial" w:cs="Arial"/>
        </w:rPr>
        <w:t>As recomendações foram organizadas para apoiar a evolução da empresa em direção a uma operação mais controlada, rastreável e orientada por critérios técnicos, reduzindo dependências de práticas informais e fortalecendo as condições necessárias para crescimento sustentável.</w:t>
      </w:r>
    </w:p>
    <w:p w14:paraId="282922CA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62C29D7B" w14:textId="48CAB365" w:rsidR="00252BBE" w:rsidRPr="00D56E30" w:rsidRDefault="00252BBE" w:rsidP="00D56E30">
      <w:pPr>
        <w:pStyle w:val="Ttulo1"/>
        <w:jc w:val="both"/>
      </w:pPr>
      <w:r w:rsidRPr="00D56E30">
        <w:t>OBJETIVO</w:t>
      </w:r>
    </w:p>
    <w:p w14:paraId="43E5E134" w14:textId="77777777" w:rsidR="002E7876" w:rsidRPr="002E7876" w:rsidRDefault="002E7876" w:rsidP="002E7876">
      <w:pPr>
        <w:spacing w:after="0" w:line="360" w:lineRule="auto"/>
        <w:jc w:val="both"/>
        <w:rPr>
          <w:rFonts w:ascii="Arial" w:hAnsi="Arial" w:cs="Arial"/>
        </w:rPr>
      </w:pPr>
      <w:r w:rsidRPr="002E7876">
        <w:rPr>
          <w:rFonts w:ascii="Arial" w:hAnsi="Arial" w:cs="Arial"/>
        </w:rPr>
        <w:t>O objetivo deste relatório é consolidar e organizar as recomendações técnicas geradas a partir dos relatórios do Diagnóstico Empresarial, estruturando-as por área de gestão para facilitar sua leitura, priorização e posterior desdobramento em ações práticas.</w:t>
      </w:r>
    </w:p>
    <w:p w14:paraId="64FD712A" w14:textId="77777777" w:rsidR="002E7876" w:rsidRPr="002E7876" w:rsidRDefault="002E7876" w:rsidP="002E7876">
      <w:pPr>
        <w:spacing w:after="0" w:line="360" w:lineRule="auto"/>
        <w:jc w:val="both"/>
        <w:rPr>
          <w:rFonts w:ascii="Arial" w:hAnsi="Arial" w:cs="Arial"/>
        </w:rPr>
      </w:pPr>
    </w:p>
    <w:p w14:paraId="13428FC4" w14:textId="75E6FEEC" w:rsidR="00DC73E3" w:rsidRPr="00D56E30" w:rsidRDefault="002E7876" w:rsidP="00D56E30">
      <w:pPr>
        <w:spacing w:after="0" w:line="360" w:lineRule="auto"/>
        <w:jc w:val="both"/>
        <w:rPr>
          <w:rFonts w:ascii="Arial" w:hAnsi="Arial" w:cs="Arial"/>
        </w:rPr>
      </w:pPr>
      <w:r w:rsidRPr="002E7876">
        <w:rPr>
          <w:rFonts w:ascii="Arial" w:hAnsi="Arial" w:cs="Arial"/>
        </w:rPr>
        <w:t xml:space="preserve">O documento servirá como base técnica para a próxima etapa do Método </w:t>
      </w:r>
      <w:proofErr w:type="spellStart"/>
      <w:r w:rsidRPr="002E7876">
        <w:rPr>
          <w:rFonts w:ascii="Arial" w:hAnsi="Arial" w:cs="Arial"/>
        </w:rPr>
        <w:t>Vertex</w:t>
      </w:r>
      <w:proofErr w:type="spellEnd"/>
      <w:r w:rsidRPr="002E7876">
        <w:rPr>
          <w:rFonts w:ascii="Arial" w:hAnsi="Arial" w:cs="Arial"/>
        </w:rPr>
        <w:t xml:space="preserve"> 360º, especialmente para o desenvolvimento do Planejamento Estratégico e do Plano de Ação, direcionando a empresa para o fortalecimento da governança, dos </w:t>
      </w:r>
      <w:r w:rsidRPr="002E7876">
        <w:rPr>
          <w:rFonts w:ascii="Arial" w:hAnsi="Arial" w:cs="Arial"/>
        </w:rPr>
        <w:lastRenderedPageBreak/>
        <w:t>controles internos, da gestão financeira, da estrutura de pessoas, dos processos operacionais e da inteligência comercial.</w:t>
      </w:r>
    </w:p>
    <w:p w14:paraId="2CF36A3F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2BB2B7FC" w14:textId="67E79EC5" w:rsidR="00252BBE" w:rsidRPr="00D56E30" w:rsidRDefault="00252BBE" w:rsidP="00D56E30">
      <w:pPr>
        <w:pStyle w:val="Ttulo1"/>
        <w:jc w:val="both"/>
      </w:pPr>
      <w:r w:rsidRPr="00D56E30">
        <w:t>METODOLOGIA</w:t>
      </w:r>
    </w:p>
    <w:p w14:paraId="7D7A450E" w14:textId="77777777" w:rsidR="00D721D3" w:rsidRDefault="00D721D3" w:rsidP="00D721D3">
      <w:p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</w:rPr>
        <w:t>A abordagem integrou leitura técnica dos produtos do Diagnóstico Empresarial e análise crítica cruzada para derivar recomendações orientadas à execução. O trabalho considerou, de forma articulada:</w:t>
      </w:r>
    </w:p>
    <w:p w14:paraId="18F6FE13" w14:textId="77777777" w:rsidR="0010437D" w:rsidRPr="00D721D3" w:rsidRDefault="0010437D" w:rsidP="00D721D3">
      <w:pPr>
        <w:spacing w:after="0" w:line="360" w:lineRule="auto"/>
        <w:jc w:val="both"/>
        <w:rPr>
          <w:rFonts w:ascii="Arial" w:hAnsi="Arial" w:cs="Arial"/>
        </w:rPr>
      </w:pPr>
    </w:p>
    <w:p w14:paraId="56B82591" w14:textId="77777777" w:rsidR="00D721D3" w:rsidRPr="00D721D3" w:rsidRDefault="00D721D3" w:rsidP="00D721D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  <w:b/>
          <w:bCs/>
        </w:rPr>
        <w:t>Avaliação Documental por Dimensão:</w:t>
      </w:r>
      <w:r w:rsidRPr="00D721D3">
        <w:rPr>
          <w:rFonts w:ascii="Arial" w:hAnsi="Arial" w:cs="Arial"/>
        </w:rPr>
        <w:t xml:space="preserve"> verificação de regularidade documental, estrutura organizacional, contratos, controles patrimoniais e aderência dos registros às necessidades de gestão.</w:t>
      </w:r>
    </w:p>
    <w:p w14:paraId="718612B3" w14:textId="77777777" w:rsidR="00D721D3" w:rsidRPr="00D721D3" w:rsidRDefault="00D721D3" w:rsidP="00D721D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  <w:b/>
          <w:bCs/>
        </w:rPr>
        <w:t>Avaliação de Práticas e Gestão Financeira:</w:t>
      </w:r>
      <w:r w:rsidRPr="00D721D3">
        <w:rPr>
          <w:rFonts w:ascii="Arial" w:hAnsi="Arial" w:cs="Arial"/>
        </w:rPr>
        <w:t xml:space="preserve"> análise da estrutura financeira, classificação das informações, controles, lucratividade, capital de giro, precificação e integração contábil-gerencial.</w:t>
      </w:r>
    </w:p>
    <w:p w14:paraId="3F8853DD" w14:textId="77777777" w:rsidR="00D721D3" w:rsidRPr="00D721D3" w:rsidRDefault="00D721D3" w:rsidP="00D721D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  <w:b/>
          <w:bCs/>
        </w:rPr>
        <w:t>Análise DISC:</w:t>
      </w:r>
      <w:r w:rsidRPr="00D721D3">
        <w:rPr>
          <w:rFonts w:ascii="Arial" w:hAnsi="Arial" w:cs="Arial"/>
        </w:rPr>
        <w:t xml:space="preserve"> identificação de aspectos comportamentais relevantes para comunicação, liderança, rotinas de trabalho, responsabilização e integração entre áreas.</w:t>
      </w:r>
    </w:p>
    <w:p w14:paraId="6C06226B" w14:textId="77777777" w:rsidR="00D721D3" w:rsidRPr="00D721D3" w:rsidRDefault="00D721D3" w:rsidP="00D721D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  <w:b/>
          <w:bCs/>
        </w:rPr>
        <w:t>Análise SWOT:</w:t>
      </w:r>
      <w:r w:rsidRPr="00D721D3">
        <w:rPr>
          <w:rFonts w:ascii="Arial" w:hAnsi="Arial" w:cs="Arial"/>
        </w:rPr>
        <w:t xml:space="preserve"> leitura das forças, fraquezas, oportunidades e ameaças, com foco nas implicações estratégicas, operacionais, comerciais e organizacionais.</w:t>
      </w:r>
    </w:p>
    <w:p w14:paraId="42635A9B" w14:textId="77777777" w:rsidR="00D721D3" w:rsidRDefault="00D721D3" w:rsidP="00D721D3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  <w:b/>
          <w:bCs/>
        </w:rPr>
        <w:t>Estrutura de Processos – SIPOC:</w:t>
      </w:r>
      <w:r w:rsidRPr="00D721D3">
        <w:rPr>
          <w:rFonts w:ascii="Arial" w:hAnsi="Arial" w:cs="Arial"/>
        </w:rPr>
        <w:t xml:space="preserve"> análise dos fluxos operacionais, responsabilidades, controles, interfaces entre áreas e oportunidades de padronização e rastreabilidade.</w:t>
      </w:r>
    </w:p>
    <w:p w14:paraId="3694A709" w14:textId="77777777" w:rsidR="0010437D" w:rsidRPr="00D721D3" w:rsidRDefault="0010437D" w:rsidP="0010437D">
      <w:pPr>
        <w:spacing w:after="0" w:line="360" w:lineRule="auto"/>
        <w:jc w:val="both"/>
        <w:rPr>
          <w:rFonts w:ascii="Arial" w:hAnsi="Arial" w:cs="Arial"/>
        </w:rPr>
      </w:pPr>
    </w:p>
    <w:p w14:paraId="7897D056" w14:textId="77777777" w:rsidR="00D721D3" w:rsidRPr="00D721D3" w:rsidRDefault="00D721D3" w:rsidP="00D721D3">
      <w:pPr>
        <w:spacing w:after="0" w:line="360" w:lineRule="auto"/>
        <w:jc w:val="both"/>
        <w:rPr>
          <w:rFonts w:ascii="Arial" w:hAnsi="Arial" w:cs="Arial"/>
        </w:rPr>
      </w:pPr>
      <w:r w:rsidRPr="00D721D3">
        <w:rPr>
          <w:rFonts w:ascii="Arial" w:hAnsi="Arial" w:cs="Arial"/>
        </w:rPr>
        <w:t xml:space="preserve">A interpretação resultou da triangulação das evidências, conectando aspectos financeiros, operacionais, comerciais e organizacionais. Em seguida, as recomendações foram consolidadas e classificadas em </w:t>
      </w:r>
      <w:r w:rsidRPr="00D721D3">
        <w:rPr>
          <w:rFonts w:ascii="Arial" w:hAnsi="Arial" w:cs="Arial"/>
          <w:b/>
          <w:bCs/>
        </w:rPr>
        <w:t>Finanças, Pessoas, Processos</w:t>
      </w:r>
      <w:r w:rsidRPr="00D721D3">
        <w:rPr>
          <w:rFonts w:ascii="Arial" w:hAnsi="Arial" w:cs="Arial"/>
        </w:rPr>
        <w:t xml:space="preserve"> e </w:t>
      </w:r>
      <w:r w:rsidRPr="00D721D3">
        <w:rPr>
          <w:rFonts w:ascii="Arial" w:hAnsi="Arial" w:cs="Arial"/>
          <w:b/>
          <w:bCs/>
        </w:rPr>
        <w:t>Comercial</w:t>
      </w:r>
      <w:r w:rsidRPr="00D721D3">
        <w:rPr>
          <w:rFonts w:ascii="Arial" w:hAnsi="Arial" w:cs="Arial"/>
        </w:rPr>
        <w:t>, com ênfase em governança, controle e desempenho.</w:t>
      </w:r>
    </w:p>
    <w:p w14:paraId="7DEE84AB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34837046" w14:textId="18BB09CF" w:rsidR="00252BBE" w:rsidRPr="00D56E30" w:rsidRDefault="00146E90" w:rsidP="00D56E30">
      <w:pPr>
        <w:pStyle w:val="Ttulo1"/>
        <w:jc w:val="both"/>
      </w:pPr>
      <w:r>
        <w:t>ANÁLISES GERADAS</w:t>
      </w:r>
    </w:p>
    <w:p w14:paraId="3177034C" w14:textId="6FB3B4F4" w:rsidR="00252BBE" w:rsidRPr="00D56E30" w:rsidRDefault="00142EA6" w:rsidP="00D56E30">
      <w:pPr>
        <w:pStyle w:val="Ttulo2"/>
        <w:ind w:left="426"/>
        <w:jc w:val="both"/>
      </w:pPr>
      <w:r w:rsidRPr="00142EA6">
        <w:t>RECOMENDAÇÕES TÉCNICAS – FINANÇAS</w:t>
      </w:r>
    </w:p>
    <w:p w14:paraId="522F548D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1. Desenvolver plano estruturado para regularização dos passivos tributários existentes, com definição de prioridades, cronograma e estratégias de negociação.</w:t>
      </w:r>
    </w:p>
    <w:p w14:paraId="7CCB752B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lastRenderedPageBreak/>
        <w:t>2. Elaborar plano de ação para obtenção das licenças e documentos regulatórios pendentes, reduzindo riscos de conformidade operacional e fiscal.</w:t>
      </w:r>
    </w:p>
    <w:p w14:paraId="245AEB8F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 xml:space="preserve">3. Revisar integralmente a parametrização dos sistemas financeiros e operacionais, especialmente o sistema </w:t>
      </w:r>
      <w:proofErr w:type="spellStart"/>
      <w:r w:rsidRPr="002E111A">
        <w:rPr>
          <w:rFonts w:ascii="Arial" w:hAnsi="Arial" w:cs="Arial"/>
        </w:rPr>
        <w:t>Bling</w:t>
      </w:r>
      <w:proofErr w:type="spellEnd"/>
      <w:r w:rsidRPr="002E111A">
        <w:rPr>
          <w:rFonts w:ascii="Arial" w:hAnsi="Arial" w:cs="Arial"/>
        </w:rPr>
        <w:t>, reduzindo a dependência de controles paralelos em Excel e aumentando a confiabilidade dos relatórios gerenciais.</w:t>
      </w:r>
    </w:p>
    <w:p w14:paraId="4F0B8705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4. Estruturar rotina formal de conciliações financeiras, validação periódica de saldos e fechamento mensal, assegurando consistência das informações antes da análise gerencial.</w:t>
      </w:r>
    </w:p>
    <w:p w14:paraId="08479BE4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5. Revisar os critérios de classificação contábil e gerencial de receitas, custos, despesas e desembolsos, alinhando a base de dados às necessidades de gestão, DRE, relatórios e indicadores.</w:t>
      </w:r>
    </w:p>
    <w:p w14:paraId="3E3441D6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6. Estruturar demonstrativo financeiro gerencial com separação clara entre receitas, custos, despesas e desembolsos.</w:t>
      </w:r>
    </w:p>
    <w:p w14:paraId="75CE7792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7. Implantar rotina de apuração confiável da lucratividade nominal e percentual por produto, linha comercial e operação.</w:t>
      </w:r>
    </w:p>
    <w:p w14:paraId="0CCE0B29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8. Formalizar o cálculo e o acompanhamento da necessidade de capital de giro, integrando análise de prazos de recebimento, disponibilidade de caixa e estrutura de pagamentos.</w:t>
      </w:r>
    </w:p>
    <w:p w14:paraId="578EE5C1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9. Estruturar política de priorização de pagamentos baseada em critérios financeiros, evitando decisões pautadas exclusivamente por urgências operacionais.</w:t>
      </w:r>
    </w:p>
    <w:p w14:paraId="2011105B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10. Estabelecer rotina de validação tributária e fiscal em conjunto com a contabilidade.</w:t>
      </w:r>
    </w:p>
    <w:p w14:paraId="49AD3479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11. Implantar controle formal de ativos imobilizados, integrado aos controles patrimoniais e contábeis.</w:t>
      </w:r>
    </w:p>
    <w:p w14:paraId="14C2CF64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12. Estruturar formalmente a meta de faturamento para 2026, com metas mensais, marcos intermediários, indicadores e responsáveis.</w:t>
      </w:r>
    </w:p>
    <w:p w14:paraId="109AE31B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13. Implantar rotina de planejamento financeiro com análise de cenários e acompanhamento periódico.</w:t>
      </w:r>
    </w:p>
    <w:p w14:paraId="210749FE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14. Ampliar o monitoramento de fatores externos relevantes ao negócio, especialmente políticas públicas, tributação setorial, câmbio e condições macroeconômicas.</w:t>
      </w:r>
    </w:p>
    <w:p w14:paraId="2FAE5E2E" w14:textId="77777777" w:rsidR="002E111A" w:rsidRP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lastRenderedPageBreak/>
        <w:t>15. Desenvolver a liderança financeira e capacitar os responsáveis internos em classificação de gastos, análise de resultado, fluxo de caixa, capital de giro, lucratividade e interpretação tributária básica.</w:t>
      </w:r>
    </w:p>
    <w:p w14:paraId="698A1450" w14:textId="4F5FDA6F" w:rsidR="007724E8" w:rsidRDefault="002E111A" w:rsidP="002E111A">
      <w:pPr>
        <w:spacing w:after="0" w:line="360" w:lineRule="auto"/>
        <w:jc w:val="both"/>
        <w:rPr>
          <w:rFonts w:ascii="Arial" w:hAnsi="Arial" w:cs="Arial"/>
        </w:rPr>
      </w:pPr>
      <w:r w:rsidRPr="002E111A">
        <w:rPr>
          <w:rFonts w:ascii="Arial" w:hAnsi="Arial" w:cs="Arial"/>
        </w:rPr>
        <w:t>16. Implantar indicadores financeiros e gerenciais para acompanhamento de faturamento, margem, custos, disponibilidade de recursos, lucratividade, capital de giro e desempenho financeiro.</w:t>
      </w:r>
    </w:p>
    <w:p w14:paraId="12EC4158" w14:textId="77777777" w:rsidR="002E111A" w:rsidRDefault="002E111A" w:rsidP="002E111A">
      <w:pPr>
        <w:spacing w:after="0" w:line="360" w:lineRule="auto"/>
        <w:jc w:val="both"/>
        <w:rPr>
          <w:rFonts w:ascii="Arial" w:hAnsi="Arial" w:cs="Arial"/>
        </w:rPr>
      </w:pPr>
    </w:p>
    <w:p w14:paraId="27120159" w14:textId="46F8D31E" w:rsidR="008E1754" w:rsidRDefault="001544FA" w:rsidP="008E1754">
      <w:pPr>
        <w:pStyle w:val="Ttulo2"/>
        <w:ind w:left="426"/>
        <w:jc w:val="both"/>
      </w:pPr>
      <w:r w:rsidRPr="008E1754">
        <w:t>RECOMENDAÇÕES TÉCNICAS – PESSOAS</w:t>
      </w:r>
    </w:p>
    <w:p w14:paraId="3763CC87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1. Revisar a estrutura de cargos atualmente praticada, alinhando os cargos registrados às funções efetivamente exercidas pelos colaboradores.</w:t>
      </w:r>
    </w:p>
    <w:p w14:paraId="0AAA2785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2. Desenvolver estrutura formal de cargos, funções e critérios de evolução profissional, fortalecendo a clareza organizacional e a gestão de pessoas.</w:t>
      </w:r>
    </w:p>
    <w:p w14:paraId="3CBACFF1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3. Estruturar regras claras de conduta, responsabilidades, feedback e valorização dos profissionais comprometidos, reduzindo práticas informais e comportamentos que comprometam a produtividade e o ambiente de trabalho.</w:t>
      </w:r>
    </w:p>
    <w:p w14:paraId="65C813FC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4. Fortalecer a liderança operacional por meio de avaliação complementar do encarregado de produção, considerando domínio técnico, autonomia, comunicação, gestão de prioridades e capacidade de acompanhamento de rotina.</w:t>
      </w:r>
    </w:p>
    <w:p w14:paraId="47B396AB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5. Formalizar as responsabilidades dos cargos de liderança e ampliar a capacidade de acompanhamento das rotinas, prioridades e entregas das equipes.</w:t>
      </w:r>
    </w:p>
    <w:p w14:paraId="4FA7FC15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6. Capacitar as equipes em processos, ferramentas, atendimento, vendas, financeiro, organização operacional e segurança na manipulação e expedição de produtos.</w:t>
      </w:r>
    </w:p>
    <w:p w14:paraId="7A7E82EC" w14:textId="77777777" w:rsidR="0079194D" w:rsidRPr="0079194D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7. Desenvolver comunicação assertiva, definição de combinados, feedback, responsabilização e gestão de conflitos, reduzindo dependência de alinhamentos informais entre áreas.</w:t>
      </w:r>
    </w:p>
    <w:p w14:paraId="374A40A9" w14:textId="62719B02" w:rsidR="008E1754" w:rsidRDefault="0079194D" w:rsidP="0079194D">
      <w:pPr>
        <w:spacing w:after="0" w:line="360" w:lineRule="auto"/>
        <w:jc w:val="both"/>
        <w:rPr>
          <w:rFonts w:ascii="Arial" w:hAnsi="Arial" w:cs="Arial"/>
        </w:rPr>
      </w:pPr>
      <w:r w:rsidRPr="0079194D">
        <w:rPr>
          <w:rFonts w:ascii="Arial" w:hAnsi="Arial" w:cs="Arial"/>
        </w:rPr>
        <w:t>8. Criar rituais de alinhamento intersetorial entre Comercial, Produção, Logística e Expedição, com foco em prioridades, pedidos críticos, pendências, riscos operacionais e responsáveis.</w:t>
      </w:r>
    </w:p>
    <w:p w14:paraId="1C2BB41C" w14:textId="77777777" w:rsidR="008E1754" w:rsidRDefault="008E1754" w:rsidP="00D56E30">
      <w:pPr>
        <w:spacing w:after="0" w:line="360" w:lineRule="auto"/>
        <w:jc w:val="both"/>
        <w:rPr>
          <w:rFonts w:ascii="Arial" w:hAnsi="Arial" w:cs="Arial"/>
        </w:rPr>
      </w:pPr>
    </w:p>
    <w:p w14:paraId="24410B86" w14:textId="5D7709A9" w:rsidR="008E1754" w:rsidRPr="00D56E30" w:rsidRDefault="001544FA" w:rsidP="008E1754">
      <w:pPr>
        <w:pStyle w:val="Ttulo2"/>
        <w:ind w:left="426"/>
        <w:jc w:val="both"/>
      </w:pPr>
      <w:r w:rsidRPr="008E1754">
        <w:lastRenderedPageBreak/>
        <w:t>RECOMENDAÇÕES TÉCNICAS – PROCESSOS</w:t>
      </w:r>
    </w:p>
    <w:p w14:paraId="7E871333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1. Elaborar organograma organizacional e mapear os principais processos da empresa, reduzindo dependência de conhecimento informal e ampliando a clareza sobre responsabilidades.</w:t>
      </w:r>
    </w:p>
    <w:p w14:paraId="1EF88A4F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2. Formalizar os processos críticos de vendas, faturamento, estoque, compras, produção, fracionamento, expedição, conferência, entrega e pós-venda, definindo etapas, responsáveis, prazos e critérios de conferência.</w:t>
      </w:r>
    </w:p>
    <w:p w14:paraId="3FDEB910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3. Estruturar controles integrados de estoque e movimentações, assegurando atualização confiável de entradas, saídas, transferências, produtos em produção e produtos acabados.</w:t>
      </w:r>
    </w:p>
    <w:p w14:paraId="5E6E75C6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4. Instituir rotina periódica de conciliação entre estoque físico e estoque sistêmico, reduzindo divergências que impactem compras, produção, vendas e faturamento.</w:t>
      </w:r>
    </w:p>
    <w:p w14:paraId="4EA91A66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5. Padronizar o processo de compras e recebimento, abrangendo solicitação, aprovação, cotação, negociação, emissão de pedido, recebimento e conferência de mercadorias.</w:t>
      </w:r>
    </w:p>
    <w:p w14:paraId="4866A35B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6. Implantar checklists para recebimento e armazenagem, contemplando quantidade, qualidade, especificação, lote, nota fiscal, divergências e condições de armazenamento.</w:t>
      </w:r>
    </w:p>
    <w:p w14:paraId="2495ADE8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7. Estruturar controles de produção e fracionamento, com ordens de produção e registros de insumos utilizados, lote de origem, quantidade produzida, perdas, rendimento, responsáveis, horário de execução e saldo de produto acabado.</w:t>
      </w:r>
    </w:p>
    <w:p w14:paraId="1D3D5A93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8. Implantar checklists e padrões operacionais para produção, conferência, expedição, carregamento, entregas e tratativa de divergências.</w:t>
      </w:r>
    </w:p>
    <w:p w14:paraId="55C88335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9. Formalizar o fluxo entre pedido de venda, separação, faturamento e despacho, evitando venda de itens indisponíveis, divergências de preço, atrasos fiscais e erros na entrega.</w:t>
      </w:r>
    </w:p>
    <w:p w14:paraId="085E5EE0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10. Implantar controle rigoroso de expedição, com conferência obrigatória de produtos, pedidos e notas fiscais antes da saída das mercadorias.</w:t>
      </w:r>
    </w:p>
    <w:p w14:paraId="276A69F4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11. Melhorar a comunicação entre departamentos por meio de fluxo oficial de solicitações, prioridades e alterações de pedidos, reduzindo alterações informais que afetem rotas, entregas e atendimento.</w:t>
      </w:r>
    </w:p>
    <w:p w14:paraId="386F806B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lastRenderedPageBreak/>
        <w:t>12. Implantar manutenção preventiva para veículos, equipamentos, mangueiras e ferramentas, reduzindo riscos operacionais, paradas não planejadas e manutenção emergencial.</w:t>
      </w:r>
    </w:p>
    <w:p w14:paraId="289E6D5A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13. Organizar estoque e infraestrutura operacional, com melhoria da separação, manutenção do ambiente, adequação de equipamentos e recursos necessários à expedição.</w:t>
      </w:r>
    </w:p>
    <w:p w14:paraId="60D5DF6C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14. Implantar indicadores operacionais e gerenciais para acompanhamento de acuracidade de estoque, prazo médio de compra e recebimento, divergências no recebimento, tempo de fracionamento, rendimento e perdas, pedidos faturados no prazo, erros de separação, prazo de expedição, devoluções, avarias e ocorrências de entrega.</w:t>
      </w:r>
    </w:p>
    <w:p w14:paraId="07E92840" w14:textId="77777777" w:rsidR="00DF5322" w:rsidRPr="00DF5322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 xml:space="preserve">15. Elaborar </w:t>
      </w:r>
      <w:proofErr w:type="spellStart"/>
      <w:r w:rsidRPr="00DF5322">
        <w:rPr>
          <w:rFonts w:ascii="Arial" w:hAnsi="Arial" w:cs="Arial"/>
        </w:rPr>
        <w:t>SIPOCs</w:t>
      </w:r>
      <w:proofErr w:type="spellEnd"/>
      <w:r w:rsidRPr="00DF5322">
        <w:rPr>
          <w:rFonts w:ascii="Arial" w:hAnsi="Arial" w:cs="Arial"/>
        </w:rPr>
        <w:t xml:space="preserve"> específicos para os processos de apoio, especialmente financeiro, gestão de pessoas, qualidade, segurança, tecnologia, manutenção, controle de fornecedores e gestão administrativa.</w:t>
      </w:r>
    </w:p>
    <w:p w14:paraId="252E21D6" w14:textId="16B9D5F3" w:rsidR="00DC73E3" w:rsidRDefault="00DF5322" w:rsidP="00DF5322">
      <w:pPr>
        <w:spacing w:after="0" w:line="360" w:lineRule="auto"/>
        <w:jc w:val="both"/>
        <w:rPr>
          <w:rFonts w:ascii="Arial" w:hAnsi="Arial" w:cs="Arial"/>
        </w:rPr>
      </w:pPr>
      <w:r w:rsidRPr="00DF5322">
        <w:rPr>
          <w:rFonts w:ascii="Arial" w:hAnsi="Arial" w:cs="Arial"/>
        </w:rPr>
        <w:t>16. Formalizar e organizar contratos com fornecedores e prestadores estratégicos, fortalecendo a governança, a gestão de terceiros e a definição de responsabilidades.</w:t>
      </w:r>
    </w:p>
    <w:p w14:paraId="19819918" w14:textId="77777777" w:rsidR="008E1754" w:rsidRDefault="008E1754" w:rsidP="00D56E30">
      <w:pPr>
        <w:spacing w:after="0" w:line="360" w:lineRule="auto"/>
        <w:jc w:val="both"/>
        <w:rPr>
          <w:rFonts w:ascii="Arial" w:hAnsi="Arial" w:cs="Arial"/>
        </w:rPr>
      </w:pPr>
    </w:p>
    <w:p w14:paraId="23BF5721" w14:textId="1D4A3EA5" w:rsidR="008E1754" w:rsidRPr="00D56E30" w:rsidRDefault="001544FA" w:rsidP="008E1754">
      <w:pPr>
        <w:pStyle w:val="Ttulo2"/>
        <w:ind w:left="426"/>
        <w:jc w:val="both"/>
      </w:pPr>
      <w:r w:rsidRPr="008E1754">
        <w:t>RECOMENDAÇÕES TÉCNICAS – COMERCIAL</w:t>
      </w:r>
    </w:p>
    <w:p w14:paraId="4358B9E8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1. Implantar rotina comercial com metas, indicadores, agenda de follow-up, registros de oportunidades, controle de propostas e acompanhamento de conversão.</w:t>
      </w:r>
    </w:p>
    <w:p w14:paraId="3DE0D2BF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2. Estruturar a expansão comercial por meio de presença digital, campanhas de captação, relacionamento com novos clientes e avaliação de novos produtos ou frentes de produção.</w:t>
      </w:r>
    </w:p>
    <w:p w14:paraId="7501BE94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3. Conectar a precificação à lucratividade real por produto e linha comercial.</w:t>
      </w:r>
    </w:p>
    <w:p w14:paraId="5EF921C2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4. Revisar as margens utilizadas na formação de preços à luz da estrutura real de custos e despesas.</w:t>
      </w:r>
    </w:p>
    <w:p w14:paraId="16910232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5. Criar leitura comercial integrada entre preço, margem, capital de giro e prazo de recebimento.</w:t>
      </w:r>
    </w:p>
    <w:p w14:paraId="540DEF29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6. Avaliar o impacto financeiro da expansão pretendida, evitando crescimento de faturamento sem sustentação de caixa e rentabilidade.</w:t>
      </w:r>
    </w:p>
    <w:p w14:paraId="359CDE2C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7. Integrar Comercial, Produção, Expedição e Financeiro por meio de fluxos formais, responsáveis definidos, pontos de conferência e prazos de transição entre etapas.</w:t>
      </w:r>
    </w:p>
    <w:p w14:paraId="5E041580" w14:textId="77777777" w:rsidR="00CF590B" w:rsidRPr="00CF590B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lastRenderedPageBreak/>
        <w:t>8. Implantar indicadores comerciais para acompanhamento de vendas, faturamento, margem, conversão, propostas, prazo de recebimento, satisfação de clientes e desempenho por linha de produto.</w:t>
      </w:r>
    </w:p>
    <w:p w14:paraId="0050B752" w14:textId="5DB9AF55" w:rsidR="00DC73E3" w:rsidRDefault="00CF590B" w:rsidP="00CF590B">
      <w:pPr>
        <w:spacing w:after="0" w:line="360" w:lineRule="auto"/>
        <w:jc w:val="both"/>
        <w:rPr>
          <w:rFonts w:ascii="Arial" w:hAnsi="Arial" w:cs="Arial"/>
        </w:rPr>
      </w:pPr>
      <w:r w:rsidRPr="00CF590B">
        <w:rPr>
          <w:rFonts w:ascii="Arial" w:hAnsi="Arial" w:cs="Arial"/>
        </w:rPr>
        <w:t>9. Estruturar processos de pós-venda e acompanhamento de clientes, fortalecendo a continuidade do relacionamento e a identificação de oportunidades comerciais.</w:t>
      </w:r>
    </w:p>
    <w:p w14:paraId="378526C2" w14:textId="77777777" w:rsidR="008E1754" w:rsidRPr="00D56E30" w:rsidRDefault="008E1754" w:rsidP="00D56E30">
      <w:pPr>
        <w:spacing w:after="0" w:line="360" w:lineRule="auto"/>
        <w:jc w:val="both"/>
        <w:rPr>
          <w:rFonts w:ascii="Arial" w:hAnsi="Arial" w:cs="Arial"/>
        </w:rPr>
      </w:pPr>
    </w:p>
    <w:p w14:paraId="716BCF9D" w14:textId="612A6D04" w:rsidR="00252BBE" w:rsidRPr="00D56E30" w:rsidRDefault="00252BBE" w:rsidP="00D56E30">
      <w:pPr>
        <w:pStyle w:val="Ttulo1"/>
        <w:jc w:val="both"/>
      </w:pPr>
      <w:r w:rsidRPr="00D56E30">
        <w:t>CONCLUSÃO</w:t>
      </w:r>
    </w:p>
    <w:p w14:paraId="3273D43F" w14:textId="77777777" w:rsidR="00CC5F5B" w:rsidRPr="00CC5F5B" w:rsidRDefault="00CC5F5B" w:rsidP="00CC5F5B">
      <w:pPr>
        <w:spacing w:after="0" w:line="360" w:lineRule="auto"/>
        <w:jc w:val="both"/>
        <w:rPr>
          <w:rFonts w:ascii="Arial" w:hAnsi="Arial" w:cs="Arial"/>
        </w:rPr>
      </w:pPr>
      <w:r w:rsidRPr="00CC5F5B">
        <w:rPr>
          <w:rFonts w:ascii="Arial" w:hAnsi="Arial" w:cs="Arial"/>
        </w:rPr>
        <w:t>As recomendações técnicas consolidadas neste relatório evidenciam que a Capital Química necessita fortalecer simultaneamente sua estrutura financeira, seus controles operacionais, sua capacidade de integração entre áreas e sua gestão de pessoas para sustentar o crescimento de forma mais previsível e segura.</w:t>
      </w:r>
    </w:p>
    <w:p w14:paraId="20A252ED" w14:textId="77777777" w:rsidR="00CC5F5B" w:rsidRPr="00CC5F5B" w:rsidRDefault="00CC5F5B" w:rsidP="00CC5F5B">
      <w:pPr>
        <w:spacing w:after="0" w:line="360" w:lineRule="auto"/>
        <w:jc w:val="both"/>
        <w:rPr>
          <w:rFonts w:ascii="Arial" w:hAnsi="Arial" w:cs="Arial"/>
        </w:rPr>
      </w:pPr>
    </w:p>
    <w:p w14:paraId="0E540001" w14:textId="77777777" w:rsidR="00CC5F5B" w:rsidRPr="00CC5F5B" w:rsidRDefault="00CC5F5B" w:rsidP="00CC5F5B">
      <w:pPr>
        <w:spacing w:after="0" w:line="360" w:lineRule="auto"/>
        <w:jc w:val="both"/>
        <w:rPr>
          <w:rFonts w:ascii="Arial" w:hAnsi="Arial" w:cs="Arial"/>
        </w:rPr>
      </w:pPr>
      <w:r w:rsidRPr="00CC5F5B">
        <w:rPr>
          <w:rFonts w:ascii="Arial" w:hAnsi="Arial" w:cs="Arial"/>
        </w:rPr>
        <w:t>A regularização dos passivos e documentos pendentes, a melhoria da confiabilidade das informações financeiras, a padronização dos processos de estoque, produção, compras e expedição, bem como a formalização de rotinas comerciais e de liderança, constituem frentes complementares para redução de riscos e aumento da capacidade de gestão.</w:t>
      </w:r>
    </w:p>
    <w:p w14:paraId="4790D8CA" w14:textId="77777777" w:rsidR="00CC5F5B" w:rsidRPr="00CC5F5B" w:rsidRDefault="00CC5F5B" w:rsidP="00CC5F5B">
      <w:pPr>
        <w:spacing w:after="0" w:line="360" w:lineRule="auto"/>
        <w:jc w:val="both"/>
        <w:rPr>
          <w:rFonts w:ascii="Arial" w:hAnsi="Arial" w:cs="Arial"/>
        </w:rPr>
      </w:pPr>
    </w:p>
    <w:p w14:paraId="04EDEBC3" w14:textId="1AD9A097" w:rsidR="00384E9F" w:rsidRPr="00D56E30" w:rsidRDefault="00CC5F5B" w:rsidP="00CC5F5B">
      <w:pPr>
        <w:spacing w:after="0" w:line="360" w:lineRule="auto"/>
        <w:jc w:val="both"/>
        <w:rPr>
          <w:rFonts w:ascii="Arial" w:hAnsi="Arial" w:cs="Arial"/>
        </w:rPr>
      </w:pPr>
      <w:r w:rsidRPr="00CC5F5B">
        <w:rPr>
          <w:rFonts w:ascii="Arial" w:hAnsi="Arial" w:cs="Arial"/>
        </w:rPr>
        <w:t xml:space="preserve">Dessa forma, este relatório representa a base técnica para a próxima etapa do Método </w:t>
      </w:r>
      <w:proofErr w:type="spellStart"/>
      <w:r w:rsidRPr="00CC5F5B">
        <w:rPr>
          <w:rFonts w:ascii="Arial" w:hAnsi="Arial" w:cs="Arial"/>
        </w:rPr>
        <w:t>Vertex</w:t>
      </w:r>
      <w:proofErr w:type="spellEnd"/>
      <w:r w:rsidRPr="00CC5F5B">
        <w:rPr>
          <w:rFonts w:ascii="Arial" w:hAnsi="Arial" w:cs="Arial"/>
        </w:rPr>
        <w:t xml:space="preserve"> 360º, na qual serão desenvolvidos o Planejamento Estratégico e o Plano de Ação correspondentes. Nessa etapa, as recomendações serão priorizadas e desdobradas em objetivos, metas, responsáveis, prazos e indicadores de acompanhamento, permitindo implementação estruturada e monitoramento contínuo dos resultados.</w:t>
      </w:r>
    </w:p>
    <w:p w14:paraId="052B7D4C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75C50559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085941CA" w14:textId="77777777" w:rsidR="00577EFD" w:rsidRPr="00D56E30" w:rsidRDefault="00577EFD" w:rsidP="00577EFD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Goiânia/GO, </w:t>
      </w:r>
      <w:r>
        <w:rPr>
          <w:rFonts w:ascii="Arial" w:hAnsi="Arial" w:cs="Arial"/>
        </w:rPr>
        <w:t>08</w:t>
      </w:r>
      <w:r w:rsidRPr="00D56E30">
        <w:rPr>
          <w:rFonts w:ascii="Arial" w:hAnsi="Arial" w:cs="Arial"/>
        </w:rPr>
        <w:t xml:space="preserve"> de </w:t>
      </w:r>
      <w:proofErr w:type="gramStart"/>
      <w:r>
        <w:rPr>
          <w:rFonts w:ascii="Arial" w:hAnsi="Arial" w:cs="Arial"/>
        </w:rPr>
        <w:t>Julho</w:t>
      </w:r>
      <w:proofErr w:type="gramEnd"/>
      <w:r w:rsidRPr="00D56E30">
        <w:rPr>
          <w:rFonts w:ascii="Arial" w:hAnsi="Arial" w:cs="Arial"/>
        </w:rPr>
        <w:t xml:space="preserve"> de 2026.</w:t>
      </w:r>
    </w:p>
    <w:p w14:paraId="4DFC5941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4F8E2DC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3B24005E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F2EE5F2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75385FE9" w14:textId="2D4991F3" w:rsidR="00EF5529" w:rsidRPr="00D56E30" w:rsidRDefault="00C64E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07F0A337" w14:textId="2FE70CA4" w:rsidR="00C64E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Raiane da Cruz Vieira</w:t>
      </w:r>
    </w:p>
    <w:p w14:paraId="0EC4562C" w14:textId="402C8B81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lastRenderedPageBreak/>
        <w:t>Consultora Responsável</w:t>
      </w:r>
    </w:p>
    <w:p w14:paraId="1D2A9873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06272BAD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C352A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0B46C376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4C543D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0EC8248A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F2E73A9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417F6B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C4C8A0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5F590CA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604F33" w14:textId="52CA73FB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42801478" w14:textId="4DDCC05A" w:rsidR="006556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Stela </w:t>
      </w:r>
      <w:proofErr w:type="spellStart"/>
      <w:r w:rsidRPr="00D56E30">
        <w:rPr>
          <w:rFonts w:ascii="Arial" w:hAnsi="Arial" w:cs="Arial"/>
        </w:rPr>
        <w:t>Anizia</w:t>
      </w:r>
      <w:proofErr w:type="spellEnd"/>
      <w:r w:rsidRPr="00D56E30">
        <w:rPr>
          <w:rFonts w:ascii="Arial" w:hAnsi="Arial" w:cs="Arial"/>
        </w:rPr>
        <w:t xml:space="preserve"> Rodrigues Alves</w:t>
      </w:r>
    </w:p>
    <w:p w14:paraId="77CB425F" w14:textId="3BD05600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4BBE3777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5B629AEF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70DEA05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B9D11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1E975512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9E0A99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3809629A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2EA754BA" w14:textId="58996A9F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2CD827AC" w14:textId="77777777" w:rsidR="00577EFD" w:rsidRPr="00D56E30" w:rsidRDefault="00577EFD" w:rsidP="00577EFD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E</w:t>
      </w:r>
      <w:r>
        <w:rPr>
          <w:rFonts w:ascii="Arial" w:hAnsi="Arial" w:cs="Arial"/>
        </w:rPr>
        <w:t>duardo Augusto de Campos Vaz</w:t>
      </w:r>
    </w:p>
    <w:p w14:paraId="7B76AB1A" w14:textId="77777777" w:rsidR="00577EFD" w:rsidRPr="00D56E30" w:rsidRDefault="00577EFD" w:rsidP="00577EFD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Sócio Administrador</w:t>
      </w:r>
    </w:p>
    <w:p w14:paraId="128EF870" w14:textId="77777777" w:rsidR="00577EFD" w:rsidRDefault="00577EFD" w:rsidP="00577EFD">
      <w:pPr>
        <w:spacing w:after="0" w:line="276" w:lineRule="auto"/>
        <w:jc w:val="center"/>
      </w:pPr>
      <w:r>
        <w:rPr>
          <w:rFonts w:ascii="Arial" w:hAnsi="Arial" w:cs="Arial"/>
        </w:rPr>
        <w:t>Capital Química Indústria e Comércio de Produtos Químicos LTDA</w:t>
      </w:r>
    </w:p>
    <w:p w14:paraId="18F1EF15" w14:textId="69604230" w:rsidR="00EF5529" w:rsidRPr="00D56E30" w:rsidRDefault="00EF5529" w:rsidP="00577EFD">
      <w:pPr>
        <w:spacing w:after="0" w:line="360" w:lineRule="auto"/>
        <w:jc w:val="center"/>
        <w:rPr>
          <w:rFonts w:ascii="Arial" w:hAnsi="Arial" w:cs="Arial"/>
        </w:rPr>
      </w:pPr>
    </w:p>
    <w:sectPr w:rsidR="00EF5529" w:rsidRPr="00D56E30" w:rsidSect="00334A66">
      <w:headerReference w:type="default" r:id="rId8"/>
      <w:footerReference w:type="default" r:id="rId9"/>
      <w:pgSz w:w="11910" w:h="16845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C2EE9" w14:textId="77777777" w:rsidR="005B78CF" w:rsidRDefault="005B78CF" w:rsidP="007C63C5">
      <w:pPr>
        <w:spacing w:after="0" w:line="240" w:lineRule="auto"/>
      </w:pPr>
      <w:r>
        <w:separator/>
      </w:r>
    </w:p>
  </w:endnote>
  <w:endnote w:type="continuationSeparator" w:id="0">
    <w:p w14:paraId="0AB5D5DC" w14:textId="77777777" w:rsidR="005B78CF" w:rsidRDefault="005B78CF" w:rsidP="007C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D31543C-863B-4999-A620-7A3B1D2719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EE6523AD-526F-4910-BE88-0A916034773C}"/>
    <w:embedItalic r:id="rId3" w:fontKey="{05FBF945-DD85-4E07-B392-C455E91BC93F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4" w:fontKey="{BD284C0D-07F7-4F3C-888B-28B0E7666C0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2F92B2A2-E99A-4F1E-A3A9-39C6ED5BFFAC}"/>
    <w:embedBold r:id="rId6" w:fontKey="{7EE783F7-4949-40CA-A2F8-D57E376CD71A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1F82B306-C047-420C-911E-D8987A8837B5}"/>
  </w:font>
  <w:font w:name="Cavolini">
    <w:charset w:val="00"/>
    <w:family w:val="script"/>
    <w:pitch w:val="variable"/>
    <w:sig w:usb0="A11526FF" w:usb1="8000000A" w:usb2="00010000" w:usb3="00000000" w:csb0="0000019F" w:csb1="00000000"/>
    <w:embedBold r:id="rId8" w:fontKey="{4BCF89D8-F196-43DB-91A8-142FCF61AB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9" w:fontKey="{BC9BACD2-D861-48C4-BD3C-63619056341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E9DC0B99-CC89-4140-B533-59B0B1DD2B16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59A070DF-6CFB-43AE-9B18-CE74B4CAEB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739672"/>
      <w:docPartObj>
        <w:docPartGallery w:val="Page Numbers (Bottom of Page)"/>
        <w:docPartUnique/>
      </w:docPartObj>
    </w:sdtPr>
    <w:sdtContent>
      <w:p w14:paraId="11B21735" w14:textId="173D5F0D" w:rsidR="00A7351E" w:rsidRDefault="00A7351E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2B15E60" wp14:editId="01999A9B">
              <wp:simplePos x="0" y="0"/>
              <wp:positionH relativeFrom="page">
                <wp:posOffset>-1905</wp:posOffset>
              </wp:positionH>
              <wp:positionV relativeFrom="page">
                <wp:posOffset>10137140</wp:posOffset>
              </wp:positionV>
              <wp:extent cx="7562850" cy="699135"/>
              <wp:effectExtent l="0" t="0" r="0" b="0"/>
              <wp:wrapTopAndBottom/>
              <wp:docPr id="764023030" name="Drawing 0" descr="1759f2fea-33e8-4942-82ea-6465f910ac36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0" descr="1759f2fea-33e8-4942-82ea-6465f910ac36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69186"/>
                      <a:stretch/>
                    </pic:blipFill>
                    <pic:spPr bwMode="auto">
                      <a:xfrm>
                        <a:off x="0" y="0"/>
                        <a:ext cx="7562850" cy="69913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w:r>
        <w:r>
          <w:t xml:space="preserve">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ACBBE" w14:textId="024766F5" w:rsidR="00A7351E" w:rsidRDefault="00A73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9BB8" w14:textId="77777777" w:rsidR="005B78CF" w:rsidRDefault="005B78CF" w:rsidP="007C63C5">
      <w:pPr>
        <w:spacing w:after="0" w:line="240" w:lineRule="auto"/>
      </w:pPr>
      <w:r>
        <w:separator/>
      </w:r>
    </w:p>
  </w:footnote>
  <w:footnote w:type="continuationSeparator" w:id="0">
    <w:p w14:paraId="46B938A0" w14:textId="77777777" w:rsidR="005B78CF" w:rsidRDefault="005B78CF" w:rsidP="007C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2033" w14:textId="32932E9D" w:rsidR="007C63C5" w:rsidRDefault="007C63C5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37001E5" wp14:editId="2532B32F">
          <wp:simplePos x="0" y="0"/>
          <wp:positionH relativeFrom="page">
            <wp:posOffset>-1905</wp:posOffset>
          </wp:positionH>
          <wp:positionV relativeFrom="page">
            <wp:posOffset>7620</wp:posOffset>
          </wp:positionV>
          <wp:extent cx="7562850" cy="929640"/>
          <wp:effectExtent l="0" t="0" r="0" b="0"/>
          <wp:wrapTopAndBottom/>
          <wp:docPr id="909020967" name="Drawing 0" descr="1ce17f196-4432-4219-a0c8-13f57dd17f7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ce17f196-4432-4219-a0c8-13f57dd17f77.png"/>
                  <pic:cNvPicPr>
                    <a:picLocks noChangeAspect="1"/>
                  </pic:cNvPicPr>
                </pic:nvPicPr>
                <pic:blipFill rotWithShape="1">
                  <a:blip r:embed="rId1"/>
                  <a:srcRect b="59026"/>
                  <a:stretch/>
                </pic:blipFill>
                <pic:spPr bwMode="auto">
                  <a:xfrm>
                    <a:off x="0" y="0"/>
                    <a:ext cx="7562850" cy="929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901"/>
    <w:multiLevelType w:val="multilevel"/>
    <w:tmpl w:val="8236F9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B82C9D"/>
    <w:multiLevelType w:val="multilevel"/>
    <w:tmpl w:val="63F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3A0"/>
    <w:multiLevelType w:val="multilevel"/>
    <w:tmpl w:val="2F2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3B6"/>
    <w:multiLevelType w:val="multilevel"/>
    <w:tmpl w:val="86D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1FC9"/>
    <w:multiLevelType w:val="multilevel"/>
    <w:tmpl w:val="3B3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5C49"/>
    <w:multiLevelType w:val="multilevel"/>
    <w:tmpl w:val="5A4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9B9"/>
    <w:multiLevelType w:val="multilevel"/>
    <w:tmpl w:val="BE2C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43848"/>
    <w:multiLevelType w:val="multilevel"/>
    <w:tmpl w:val="31DC15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E42B72"/>
    <w:multiLevelType w:val="multilevel"/>
    <w:tmpl w:val="8C3C7B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grafodaList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214CB"/>
    <w:multiLevelType w:val="multilevel"/>
    <w:tmpl w:val="D28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713AF"/>
    <w:multiLevelType w:val="multilevel"/>
    <w:tmpl w:val="864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D3677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90AFC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50F13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55595"/>
    <w:multiLevelType w:val="multilevel"/>
    <w:tmpl w:val="F7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C5D1C"/>
    <w:multiLevelType w:val="multilevel"/>
    <w:tmpl w:val="8CD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08022">
    <w:abstractNumId w:val="0"/>
  </w:num>
  <w:num w:numId="2" w16cid:durableId="2021590113">
    <w:abstractNumId w:val="8"/>
  </w:num>
  <w:num w:numId="3" w16cid:durableId="2015643503">
    <w:abstractNumId w:val="7"/>
  </w:num>
  <w:num w:numId="4" w16cid:durableId="179468646">
    <w:abstractNumId w:val="2"/>
  </w:num>
  <w:num w:numId="5" w16cid:durableId="993803765">
    <w:abstractNumId w:val="1"/>
  </w:num>
  <w:num w:numId="6" w16cid:durableId="515927794">
    <w:abstractNumId w:val="4"/>
  </w:num>
  <w:num w:numId="7" w16cid:durableId="1072117760">
    <w:abstractNumId w:val="3"/>
  </w:num>
  <w:num w:numId="8" w16cid:durableId="68697072">
    <w:abstractNumId w:val="5"/>
  </w:num>
  <w:num w:numId="9" w16cid:durableId="1595242646">
    <w:abstractNumId w:val="9"/>
  </w:num>
  <w:num w:numId="10" w16cid:durableId="106511627">
    <w:abstractNumId w:val="14"/>
  </w:num>
  <w:num w:numId="11" w16cid:durableId="428083850">
    <w:abstractNumId w:val="6"/>
  </w:num>
  <w:num w:numId="12" w16cid:durableId="968321591">
    <w:abstractNumId w:val="15"/>
  </w:num>
  <w:num w:numId="13" w16cid:durableId="384335797">
    <w:abstractNumId w:val="13"/>
  </w:num>
  <w:num w:numId="14" w16cid:durableId="1843929798">
    <w:abstractNumId w:val="12"/>
  </w:num>
  <w:num w:numId="15" w16cid:durableId="1436748963">
    <w:abstractNumId w:val="8"/>
  </w:num>
  <w:num w:numId="16" w16cid:durableId="1211383896">
    <w:abstractNumId w:val="8"/>
  </w:num>
  <w:num w:numId="17" w16cid:durableId="1024671734">
    <w:abstractNumId w:val="8"/>
  </w:num>
  <w:num w:numId="18" w16cid:durableId="772894019">
    <w:abstractNumId w:val="11"/>
  </w:num>
  <w:num w:numId="19" w16cid:durableId="1785806064">
    <w:abstractNumId w:val="10"/>
  </w:num>
  <w:num w:numId="20" w16cid:durableId="1190147605">
    <w:abstractNumId w:val="7"/>
  </w:num>
  <w:num w:numId="21" w16cid:durableId="801071401">
    <w:abstractNumId w:val="7"/>
  </w:num>
  <w:num w:numId="22" w16cid:durableId="1337879631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0A6"/>
    <w:rsid w:val="000424D0"/>
    <w:rsid w:val="00042A4D"/>
    <w:rsid w:val="00072AB9"/>
    <w:rsid w:val="00076EB8"/>
    <w:rsid w:val="000A01F9"/>
    <w:rsid w:val="000B1A29"/>
    <w:rsid w:val="000D4C56"/>
    <w:rsid w:val="000E4797"/>
    <w:rsid w:val="000F60B3"/>
    <w:rsid w:val="0010437D"/>
    <w:rsid w:val="00123744"/>
    <w:rsid w:val="00142EA6"/>
    <w:rsid w:val="00143ACE"/>
    <w:rsid w:val="00146E90"/>
    <w:rsid w:val="0015088E"/>
    <w:rsid w:val="001544FA"/>
    <w:rsid w:val="00170B83"/>
    <w:rsid w:val="00182EE4"/>
    <w:rsid w:val="001937E5"/>
    <w:rsid w:val="001C68E9"/>
    <w:rsid w:val="001F3E02"/>
    <w:rsid w:val="001F6373"/>
    <w:rsid w:val="00225DF8"/>
    <w:rsid w:val="002356CE"/>
    <w:rsid w:val="00252BBE"/>
    <w:rsid w:val="00266DDD"/>
    <w:rsid w:val="002703CE"/>
    <w:rsid w:val="002728C4"/>
    <w:rsid w:val="00276797"/>
    <w:rsid w:val="00277CC5"/>
    <w:rsid w:val="0029313C"/>
    <w:rsid w:val="002A25F3"/>
    <w:rsid w:val="002B6F1A"/>
    <w:rsid w:val="002C6431"/>
    <w:rsid w:val="002D206B"/>
    <w:rsid w:val="002E111A"/>
    <w:rsid w:val="002E7876"/>
    <w:rsid w:val="00312200"/>
    <w:rsid w:val="00334A66"/>
    <w:rsid w:val="0035388C"/>
    <w:rsid w:val="00384E9F"/>
    <w:rsid w:val="003A2553"/>
    <w:rsid w:val="003A2578"/>
    <w:rsid w:val="003C46BD"/>
    <w:rsid w:val="004062D4"/>
    <w:rsid w:val="00407A2C"/>
    <w:rsid w:val="00416E11"/>
    <w:rsid w:val="00440A75"/>
    <w:rsid w:val="00450B61"/>
    <w:rsid w:val="00472977"/>
    <w:rsid w:val="004B7BDA"/>
    <w:rsid w:val="004F0B1F"/>
    <w:rsid w:val="004F4D07"/>
    <w:rsid w:val="00532FED"/>
    <w:rsid w:val="0053393C"/>
    <w:rsid w:val="00571483"/>
    <w:rsid w:val="00577EFD"/>
    <w:rsid w:val="00581598"/>
    <w:rsid w:val="0058656C"/>
    <w:rsid w:val="005904B6"/>
    <w:rsid w:val="005B78CF"/>
    <w:rsid w:val="005C1B03"/>
    <w:rsid w:val="005D6F5A"/>
    <w:rsid w:val="005F0C40"/>
    <w:rsid w:val="006000D1"/>
    <w:rsid w:val="00601295"/>
    <w:rsid w:val="006062F9"/>
    <w:rsid w:val="00637449"/>
    <w:rsid w:val="006527A5"/>
    <w:rsid w:val="006556F4"/>
    <w:rsid w:val="00655E35"/>
    <w:rsid w:val="00674D68"/>
    <w:rsid w:val="00676564"/>
    <w:rsid w:val="0069566E"/>
    <w:rsid w:val="006A4242"/>
    <w:rsid w:val="006E5CD0"/>
    <w:rsid w:val="006F0611"/>
    <w:rsid w:val="006F38B4"/>
    <w:rsid w:val="007077A3"/>
    <w:rsid w:val="0072403E"/>
    <w:rsid w:val="0073282D"/>
    <w:rsid w:val="007440C8"/>
    <w:rsid w:val="007578C8"/>
    <w:rsid w:val="0076496C"/>
    <w:rsid w:val="007724E8"/>
    <w:rsid w:val="0079194D"/>
    <w:rsid w:val="007A7E46"/>
    <w:rsid w:val="007B721B"/>
    <w:rsid w:val="007C2043"/>
    <w:rsid w:val="007C63C5"/>
    <w:rsid w:val="007D60D1"/>
    <w:rsid w:val="007F486C"/>
    <w:rsid w:val="0081551D"/>
    <w:rsid w:val="0087313A"/>
    <w:rsid w:val="008A5F31"/>
    <w:rsid w:val="008B7F95"/>
    <w:rsid w:val="008C2C82"/>
    <w:rsid w:val="008D0F27"/>
    <w:rsid w:val="008D1999"/>
    <w:rsid w:val="008D5610"/>
    <w:rsid w:val="008E1754"/>
    <w:rsid w:val="008E44FE"/>
    <w:rsid w:val="00907C4B"/>
    <w:rsid w:val="00920050"/>
    <w:rsid w:val="00926AA7"/>
    <w:rsid w:val="00935F6E"/>
    <w:rsid w:val="0095503D"/>
    <w:rsid w:val="00964849"/>
    <w:rsid w:val="00971D21"/>
    <w:rsid w:val="00977500"/>
    <w:rsid w:val="009B151F"/>
    <w:rsid w:val="009C47A5"/>
    <w:rsid w:val="009E1293"/>
    <w:rsid w:val="009E2709"/>
    <w:rsid w:val="009F3712"/>
    <w:rsid w:val="009F721B"/>
    <w:rsid w:val="00A04BA2"/>
    <w:rsid w:val="00A071C8"/>
    <w:rsid w:val="00A1685F"/>
    <w:rsid w:val="00A36356"/>
    <w:rsid w:val="00A60F41"/>
    <w:rsid w:val="00A67DCE"/>
    <w:rsid w:val="00A7351E"/>
    <w:rsid w:val="00A830C3"/>
    <w:rsid w:val="00A9393B"/>
    <w:rsid w:val="00AA5082"/>
    <w:rsid w:val="00AC7B25"/>
    <w:rsid w:val="00AD2DA7"/>
    <w:rsid w:val="00AE78DC"/>
    <w:rsid w:val="00AF15F2"/>
    <w:rsid w:val="00B003FA"/>
    <w:rsid w:val="00B7269D"/>
    <w:rsid w:val="00B72D36"/>
    <w:rsid w:val="00B863DF"/>
    <w:rsid w:val="00C130E7"/>
    <w:rsid w:val="00C309B8"/>
    <w:rsid w:val="00C316DE"/>
    <w:rsid w:val="00C319F3"/>
    <w:rsid w:val="00C50574"/>
    <w:rsid w:val="00C6106C"/>
    <w:rsid w:val="00C64EF4"/>
    <w:rsid w:val="00C94169"/>
    <w:rsid w:val="00C96590"/>
    <w:rsid w:val="00CB1305"/>
    <w:rsid w:val="00CC5F5B"/>
    <w:rsid w:val="00CD71DA"/>
    <w:rsid w:val="00CF590B"/>
    <w:rsid w:val="00D258B9"/>
    <w:rsid w:val="00D354F1"/>
    <w:rsid w:val="00D56E30"/>
    <w:rsid w:val="00D721D3"/>
    <w:rsid w:val="00D805E6"/>
    <w:rsid w:val="00D94024"/>
    <w:rsid w:val="00D970A6"/>
    <w:rsid w:val="00DA6F61"/>
    <w:rsid w:val="00DA75D6"/>
    <w:rsid w:val="00DB4015"/>
    <w:rsid w:val="00DB4688"/>
    <w:rsid w:val="00DB5416"/>
    <w:rsid w:val="00DC73E3"/>
    <w:rsid w:val="00DD34D7"/>
    <w:rsid w:val="00DD7F11"/>
    <w:rsid w:val="00DF4380"/>
    <w:rsid w:val="00DF5322"/>
    <w:rsid w:val="00E06212"/>
    <w:rsid w:val="00E22C8A"/>
    <w:rsid w:val="00E22DCD"/>
    <w:rsid w:val="00E51D89"/>
    <w:rsid w:val="00E60E94"/>
    <w:rsid w:val="00E6771A"/>
    <w:rsid w:val="00E92D3E"/>
    <w:rsid w:val="00E95551"/>
    <w:rsid w:val="00EA2A01"/>
    <w:rsid w:val="00EB251D"/>
    <w:rsid w:val="00EB41E4"/>
    <w:rsid w:val="00EB5BA1"/>
    <w:rsid w:val="00ED66AB"/>
    <w:rsid w:val="00EE5460"/>
    <w:rsid w:val="00EF3F68"/>
    <w:rsid w:val="00EF5529"/>
    <w:rsid w:val="00EF722C"/>
    <w:rsid w:val="00F0421D"/>
    <w:rsid w:val="00F15C44"/>
    <w:rsid w:val="00F369FA"/>
    <w:rsid w:val="00F72185"/>
    <w:rsid w:val="00F7360E"/>
    <w:rsid w:val="00F73946"/>
    <w:rsid w:val="00F81E18"/>
    <w:rsid w:val="00F92C46"/>
    <w:rsid w:val="00F960EE"/>
    <w:rsid w:val="00FA1BA9"/>
    <w:rsid w:val="00FB3ECC"/>
    <w:rsid w:val="00FC7C4D"/>
    <w:rsid w:val="00FD63BB"/>
    <w:rsid w:val="00FE0992"/>
    <w:rsid w:val="00FE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F4092"/>
  <w15:docId w15:val="{553D5300-DF26-40B7-B2D3-EEA549A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7A5"/>
    <w:pPr>
      <w:keepNext/>
      <w:keepLines/>
      <w:numPr>
        <w:numId w:val="3"/>
      </w:numPr>
      <w:spacing w:after="0" w:line="360" w:lineRule="auto"/>
      <w:outlineLvl w:val="0"/>
    </w:pPr>
    <w:rPr>
      <w:rFonts w:ascii="Arial" w:eastAsiaTheme="majorEastAsia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47A5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Arial" w:eastAsiaTheme="majorEastAsia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63BB"/>
    <w:pPr>
      <w:keepNext/>
      <w:keepLines/>
      <w:numPr>
        <w:ilvl w:val="2"/>
        <w:numId w:val="3"/>
      </w:numPr>
      <w:spacing w:after="0" w:line="360" w:lineRule="auto"/>
      <w:ind w:left="567" w:hanging="567"/>
      <w:outlineLvl w:val="2"/>
    </w:pPr>
    <w:rPr>
      <w:rFonts w:ascii="Arial" w:eastAsiaTheme="majorEastAsia" w:hAnsi="Arial" w:cs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1D21"/>
    <w:pPr>
      <w:keepNext/>
      <w:keepLines/>
      <w:numPr>
        <w:ilvl w:val="3"/>
        <w:numId w:val="1"/>
      </w:numPr>
      <w:spacing w:before="40" w:after="0"/>
      <w:outlineLvl w:val="3"/>
    </w:pPr>
    <w:rPr>
      <w:rFonts w:ascii="Arial" w:eastAsiaTheme="majorEastAsia" w:hAnsi="Arial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0621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3324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0621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721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0621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21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21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63C5"/>
  </w:style>
  <w:style w:type="paragraph" w:styleId="Rodap">
    <w:name w:val="footer"/>
    <w:basedOn w:val="Normal"/>
    <w:link w:val="Rodap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63C5"/>
  </w:style>
  <w:style w:type="character" w:customStyle="1" w:styleId="Ttulo1Char">
    <w:name w:val="Título 1 Char"/>
    <w:basedOn w:val="Fontepargpadro"/>
    <w:link w:val="Ttulo1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D63BB"/>
    <w:rPr>
      <w:rFonts w:ascii="Arial" w:eastAsiaTheme="majorEastAsia" w:hAnsi="Arial" w:cs="Arial"/>
    </w:rPr>
  </w:style>
  <w:style w:type="character" w:customStyle="1" w:styleId="Ttulo4Char">
    <w:name w:val="Título 4 Char"/>
    <w:basedOn w:val="Fontepargpadro"/>
    <w:link w:val="Ttulo4"/>
    <w:uiPriority w:val="9"/>
    <w:rsid w:val="00971D21"/>
    <w:rPr>
      <w:rFonts w:ascii="Arial" w:eastAsiaTheme="majorEastAsia" w:hAnsi="Arial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E06212"/>
    <w:rPr>
      <w:rFonts w:asciiTheme="majorHAnsi" w:eastAsiaTheme="majorEastAsia" w:hAnsiTheme="majorHAnsi" w:cstheme="majorBidi"/>
      <w:color w:val="233244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E06212"/>
    <w:rPr>
      <w:rFonts w:asciiTheme="majorHAnsi" w:eastAsiaTheme="majorEastAsia" w:hAnsiTheme="majorHAnsi" w:cstheme="majorBidi"/>
      <w:color w:val="1721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06212"/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2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2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8D0F27"/>
    <w:pPr>
      <w:numPr>
        <w:ilvl w:val="1"/>
        <w:numId w:val="2"/>
      </w:numPr>
      <w:spacing w:after="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RV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F445C"/>
      </a:accent1>
      <a:accent2>
        <a:srgbClr val="9D8569"/>
      </a:accent2>
      <a:accent3>
        <a:srgbClr val="78AEC2"/>
      </a:accent3>
      <a:accent4>
        <a:srgbClr val="C8C6C6"/>
      </a:accent4>
      <a:accent5>
        <a:srgbClr val="E7E6E6"/>
      </a:accent5>
      <a:accent6>
        <a:srgbClr val="F2F2F2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00D4-DD5B-4643-97EB-36365A48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2003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Lemmi Consultoria</cp:lastModifiedBy>
  <cp:revision>173</cp:revision>
  <dcterms:created xsi:type="dcterms:W3CDTF">2025-04-15T17:12:00Z</dcterms:created>
  <dcterms:modified xsi:type="dcterms:W3CDTF">2026-07-03T17:19:00Z</dcterms:modified>
</cp:coreProperties>
</file>