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5]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3"/>
        </w:numPr>
        <w:spacing w:after="0" w:afterAutospacing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after="0" w:afterAutospacing="0" w:before="0" w:beforeAutospacing="0" w:line="384.00000000000006" w:lineRule="auto"/>
        <w:ind w:left="856" w:hanging="360.00000000000045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Làm quen với việc sử dụng các thẻ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&lt;article&gt;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&lt;aside&gt;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&lt;footer&gt;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&lt;header&gt;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&lt;main&gt;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&lt;nav&gt;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594f7"/>
          <w:sz w:val="21"/>
          <w:szCs w:val="21"/>
          <w:rtl w:val="0"/>
        </w:rPr>
        <w:t xml:space="preserve">&lt;section&gt;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, vv..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3"/>
        </w:numPr>
        <w:spacing w:after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  <w:tab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1215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Thực hiện thay thế tất cả các thẻ div ở bài tập trước chuyển thành các thẻ semantic có ý nghĩa hơn: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93" w:line="360" w:lineRule="auto"/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757863" cy="4768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76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15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9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7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wuU26DSije6YRtiHwGDeenHYQ==">CgMxLjA4AHIhMWFxWHRLNGlXMEhyQW5YWXRsRi1rREpnNUcwMGhhRnBm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