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Supplementary Table S5 Conditional regional comparisons</w:t>
      </w:r>
    </w:p>
    <w:p>
      <w:r>
        <w:rPr>
          <w:rFonts w:ascii="Times New Roman" w:hAnsi="Times New Roman"/>
        </w:rPr>
        <w:t>All 60 planned comparisons are reported. None had a Holm-adjusted p-value below 0.05. These exploratory calculations describe the frozen B004 analysis under an explicit joint regional sign-exchangeability assumption. They do not establish independent biological replication, population superiority or equivalence.</w:t>
      </w:r>
    </w:p>
    <w:p>
      <w:r>
        <w:rPr>
          <w:rFonts w:ascii="Times New Roman" w:hAnsi="Times New Roman"/>
        </w:rPr>
        <w:t>Each comparison uses the same eight tissue regions from one donor and all 256 sign assignments in a two-sided exact test of the mean paired difference. Regions receive equal weight. Means are percentages and differences are percentage points, with A minus B determining the sign. Intervals are descriptive 95% paired-region percentile-resampling intervals from 10,000 resamples with seed 42, not intervals for variation across donors.</w:t>
      </w:r>
    </w:p>
    <w:p>
      <w:r>
        <w:rPr>
          <w:rFonts w:ascii="Times New Roman" w:hAnsi="Times New Roman"/>
        </w:rPr>
        <w:t>S5a uses 209,587 non-Noise cells, the current 20-class harmonization and separate regional cluster-majority labels with alphabetical tie-breaking. S5b and S5c use all 220,082 cells, the historical 21-label vocabulary including Noise, and fixed response-backed predictions. Figure 3B itself reports pooled cell agreement, while the paired comparisons below weight regions equally. Historical label merges and retrospective selection remain limitations.</w:t>
      </w:r>
    </w:p>
    <w:p>
      <w:r>
        <w:rPr>
          <w:rFonts w:ascii="Times New Roman" w:hAnsi="Times New Roman"/>
        </w:rPr>
        <w:t>Shared fitted partitions and cluster labels can couple regional outcomes. The study design does not establish joint invariance to independent sign reversals. The p-values are conditional sensitivity calculations under that assumption. With eight pairs, the minimum two-sided exact p-value is 2/256. Neither Holm family can reject at 0.05, even at this minimum.</w:t>
      </w:r>
    </w:p>
    <w:p>
      <w:pPr>
        <w:pStyle w:val="Heading1"/>
      </w:pPr>
      <w:r>
        <w:rPr>
          <w:rFonts w:ascii="Times New Roman" w:hAnsi="Times New Roman"/>
        </w:rPr>
        <w:t>S5a Clustering diagnostics in Figure 2E and Figure 2G</w:t>
      </w:r>
    </w:p>
    <w:p>
      <w:r>
        <w:rPr>
          <w:rFonts w:ascii="Times New Roman" w:hAnsi="Times New Roman"/>
        </w:rPr>
        <w:t>Holm family of 12 tests across both metrics and all six clustering-method pairs. All rows have eight regional pairs, one donor and no exclusions.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152"/>
        <w:gridCol w:w="1152"/>
        <w:gridCol w:w="1080"/>
        <w:gridCol w:w="2232"/>
        <w:gridCol w:w="1152"/>
        <w:gridCol w:w="1152"/>
      </w:tblGrid>
      <w:tr>
        <w:trPr>
          <w:tblHeader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>Comparison A versus 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Mean A 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Mean B 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Change pp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95% regional interval pp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Raw 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Weighted F1  FlowSOM versus Leiden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63.30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73.91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−10.61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−12.78 to −8.43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Weighted F1  FlowSOM versus SpatialSort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63.30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49.44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13.86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11.40 to 16.34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Weighted F1  FlowSOM versus PIXIE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63.30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61.54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1.76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−0.30 to 4.01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0.203125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0.406250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Weighted F1  Leiden versus SpatialSort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73.91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49.44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24.47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22.51 to 26.70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Weighted F1  Leiden versus PIXIE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73.91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61.54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12.37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9.45 to 15.56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Weighted F1  SpatialSort versus PIXIE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49.44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61.54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−12.11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−14.50 to −9.88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Cluster purity  FlowSOM versus Leiden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65.26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74.64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−9.38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−11.43 to −7.36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Cluster purity  FlowSOM versus SpatialSort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65.26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53.24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12.02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9.80 to 14.08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Cluster purity  FlowSOM versus PIXIE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65.26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64.46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−1.13 to 3.07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0.546875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0.546875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Cluster purity  Leiden versus SpatialSort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74.64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53.24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21.40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20.06 to 22.96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Cluster purity  Leiden versus PIXIE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74.64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64.46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10.18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7.49 to 13.20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Cluster purity  SpatialSort versus PIXIE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53.24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64.46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−11.22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−13.35 to −9.16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</w:tr>
    </w:tbl>
    <w:p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S5b Model comparisons within each clustering method</w:t>
      </w:r>
    </w:p>
    <w:p>
      <w:r>
        <w:rPr>
          <w:rFonts w:ascii="Times New Roman" w:hAnsi="Times New Roman"/>
        </w:rPr>
        <w:t>These 24 rows and the 24 rows in S5c form one 48-test Holm family for Figure 3B. All rows have eight regional pairs, one donor and no exclusions.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152"/>
        <w:gridCol w:w="1152"/>
        <w:gridCol w:w="1080"/>
        <w:gridCol w:w="2232"/>
        <w:gridCol w:w="1152"/>
        <w:gridCol w:w="1152"/>
      </w:tblGrid>
      <w:tr>
        <w:trPr>
          <w:tblHeader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>Comparison A versus 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Mean A 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Mean B 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Change pp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95% regional interval pp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Raw 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GPT versus FlowSOM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50.75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−6.03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−7.97 to −4.25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GPT versus FlowSOM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45.71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−0.99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−1.98 to −0.10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0.109375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GPT versus FlowSOM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43.46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1.26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−0.67 to 3.35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0.335938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Claude versus FlowSOM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50.75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45.71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5.04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3.22 to 7.12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Claude versus FlowSOM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50.75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43.46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7.29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4.93 to 9.61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Gemini versus FlowSOM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45.71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43.46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2.26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−0.16 to 4.97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0.210938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GPT versus Leiden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−4.87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−7.27 to −2.80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0.015625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0.421875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GPT versus Leiden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−3.12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−4.94 to −1.31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0.023438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0.515625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GPT versus Leiden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48.82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2.52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1.24 to 4.08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0.015625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0.421875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Claude versus Leiden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1.75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1.01 to 2.58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Claude versus Leiden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48.82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7.40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5.81 to 9.51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Gemini versus Leiden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48.82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5.65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4.55 to 7.02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GPT versus SpatialSort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33.37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31.40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1.97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0.39 to 3.19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0.054688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0.984375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GPT versus SpatialSort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33.37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33.08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0.29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−1.45 to 2.04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0.789062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GPT versus SpatialSort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33.37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32.93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−1.84 to 2.45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0.710938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Claude versus SpatialSort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31.40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33.08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−1.68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−3.11 to −0.37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0.046875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0.937500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Claude versus SpatialSort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31.40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32.93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−1.53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−3.16 to −0.28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0.054688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0.984375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Gemini versus SpatialSort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33.08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32.93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0.14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−1.21 to 1.46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0.867188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PIXIE GPT versus PIXIE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52.64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−2.16 to 3.33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0.773438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PIXIE GPT versus PIXIE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52.64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51.88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−1.59 to 3.56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0.695312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PIXIE GPT versus PIXIE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52.64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49.85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2.79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0.26 to 5.81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0.101562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PIXIE Claude versus PIXIE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51.88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−0.68 to 0.95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0.562500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PIXIE Claude versus PIXIE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49.85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2.35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1.46 to 3.07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0.015625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0.421875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PIXIE Gemini versus PIXIE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49.85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2.03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1.45 to 2.48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</w:tbl>
    <w:p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S5c Clustering comparisons within each model</w:t>
      </w:r>
    </w:p>
    <w:p>
      <w:r>
        <w:rPr>
          <w:rFonts w:ascii="Times New Roman" w:hAnsi="Times New Roman"/>
        </w:rPr>
        <w:t>These 24 rows share the same 48-test Holm family as S5b. Correction was not restarted for this display. All rows have eight regional pairs, one donor and no exclusions.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152"/>
        <w:gridCol w:w="1152"/>
        <w:gridCol w:w="1080"/>
        <w:gridCol w:w="2232"/>
        <w:gridCol w:w="1152"/>
        <w:gridCol w:w="1152"/>
      </w:tblGrid>
      <w:tr>
        <w:trPr>
          <w:tblHeader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>Comparison A versus 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Mean A 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Mean B 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Change pp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95% regional interval pp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Raw 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E8EEF4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GPT versus Leiden GPT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51.35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−6.63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−10.15 to −3.00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0.015625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0.421875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GPT versus SpatialSort GPT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33.37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11.35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8.13 to 14.13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GPT versus PIXIE GPT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52.64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−7.92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−11.74 to −4.84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GPT versus SpatialSort GPT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33.37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17.98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15.66 to 20.65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GPT versus PIXIE GPT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52.64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−1.29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−5.93 to 3.50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0.609375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GPT versus PIXIE GPT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33.37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52.64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−19.27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−22.70 to −15.97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Claude versus Leiden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50.75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−5.47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−7.97 to −3.02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0.015625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0.421875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Claude versus SpatialSort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50.75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31.40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19.35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16.61 to 22.60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Claude versus PIXIE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50.75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−1.45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−5.84 to 2.64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0.546875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Claude versus SpatialSort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31.40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24.82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21.60 to 28.17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Claude versus PIXIE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4.02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−1.48 to 9.52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0.210938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Claude versus PIXIE Claude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31.40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52.20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−20.80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−24.98 to −16.43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Gemini versus Leiden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45.71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−8.76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−11.91 to −6.03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Gemini versus SpatialSort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45.71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33.08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12.64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9.64 to 15.32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Gemini versus PIXIE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45.71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51.88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−6.16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−10.68 to −1.88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0.046875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0.937500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Gemini versus SpatialSort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33.08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21.39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18.68 to 24.11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Gemini versus PIXIE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51.88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2.59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−2.94 to 8.26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0.421875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Gemini versus PIXIE Gemini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33.08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51.88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−18.80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−23.16 to −14.40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DeepSeek versus Leiden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43.46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48.82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−5.36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−7.96 to −2.42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0.023438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0.515625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DeepSeek versus SpatialSort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43.46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32.93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10.52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8.27 to 12.85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FlowSOM DeepSeek versus PIXIE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43.46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49.85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−6.39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−11.64 to −0.72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0.093750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DeepSeek versus SpatialSort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48.82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32.93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15.89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12.56 to 19.35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Leiden DeepSeek versus PIXIE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48.82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49.85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−1.03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−6.74 to 4.78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0.750000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8"/>
              </w:rPr>
              <w:t>SpatialSort DeepSeek versus PIXIE DeepSeek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32.93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49.85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−16.92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−20.27 to −13.21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0.007812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8"/>
              </w:rPr>
              <w:t>0.375000</w:t>
            </w:r>
          </w:p>
        </w:tc>
      </w:tr>
    </w:tbl>
    <w:p>
      <w:r>
        <w:rPr>
          <w:rFonts w:ascii="Times New Roman" w:hAnsi="Times New Roman"/>
        </w:rPr>
        <w:t>Paired regional observations accompany this table in paired_regional_observations.csv. Exact machine-readable results and the analysis inventory accompany it in conditional_comparisons.csv and comparison_inventory.json. Figure 3C–E, reference-selected Figure 3F/G, donor-transfer results, repeatability and compensation summaries remain descriptive and receive no new significance claim.</w:t>
      </w:r>
    </w:p>
    <w:sectPr w:rsidR="00FC693F" w:rsidRPr="0006063C" w:rsidSect="00034616">
      <w:footerReference w:type="default" r:id="rId9"/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Supplementary Table S5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