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Ex2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charts/chartEx3.xml" ContentType="application/vnd.ms-office.chartex+xml"/>
  <Override PartName="/word/charts/style3.xml" ContentType="application/vnd.ms-office.chartstyle+xml"/>
  <Override PartName="/word/charts/colors3.xml" ContentType="application/vnd.ms-office.chartcolorstyle+xml"/>
  <Override PartName="/word/charts/chartEx4.xml" ContentType="application/vnd.ms-office.chartex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E7E09" w14:textId="085AAAD1" w:rsidR="00E30D44" w:rsidRDefault="00E30D44">
      <w:r>
        <w:rPr>
          <w:noProof/>
        </w:rPr>
        <w:drawing>
          <wp:inline distT="0" distB="0" distL="0" distR="0" wp14:anchorId="6FDB90DF" wp14:editId="351CADD1">
            <wp:extent cx="7591245" cy="2530415"/>
            <wp:effectExtent l="0" t="0" r="381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944" cy="253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D9FD" w14:textId="76FAEFF1" w:rsidR="00E30D44" w:rsidRDefault="00E30D44">
      <w:r>
        <w:rPr>
          <w:noProof/>
        </w:rPr>
        <w:drawing>
          <wp:inline distT="0" distB="0" distL="0" distR="0" wp14:anchorId="56692E4C" wp14:editId="434F9066">
            <wp:extent cx="7660257" cy="2553419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9431" cy="2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F27B" w14:textId="450A0AF6" w:rsidR="00E30D44" w:rsidRDefault="00E30D44"/>
    <w:p w14:paraId="2D5354A3" w14:textId="5FACE7B2" w:rsidR="00E30D44" w:rsidRDefault="00E30D44">
      <w:r>
        <w:t xml:space="preserve">Interpretation: Similar trends shown across soil types. Units on y to be worked out still, but comparison should still hold. Trends show that in order of carbon respired: DASE, AD, C-CBP, CS </w:t>
      </w:r>
      <w:proofErr w:type="spellStart"/>
      <w:r>
        <w:t>ie</w:t>
      </w:r>
      <w:proofErr w:type="spellEnd"/>
      <w:r>
        <w:t xml:space="preserve">. the materials the show the most C retention in increasing order are: CS, C-CBP, </w:t>
      </w:r>
      <w:proofErr w:type="gramStart"/>
      <w:r>
        <w:t>AD,  DASE</w:t>
      </w:r>
      <w:proofErr w:type="gramEnd"/>
      <w:r>
        <w:t>. DASE being the most retentive.</w:t>
      </w:r>
    </w:p>
    <w:tbl>
      <w:tblPr>
        <w:tblW w:w="3900" w:type="dxa"/>
        <w:tblLook w:val="04A0" w:firstRow="1" w:lastRow="0" w:firstColumn="1" w:lastColumn="0" w:noHBand="0" w:noVBand="1"/>
      </w:tblPr>
      <w:tblGrid>
        <w:gridCol w:w="1300"/>
        <w:gridCol w:w="1264"/>
        <w:gridCol w:w="1336"/>
      </w:tblGrid>
      <w:tr w:rsidR="00E30D44" w:rsidRPr="00E30D44" w14:paraId="22734789" w14:textId="77777777" w:rsidTr="001A177F">
        <w:trPr>
          <w:trHeight w:val="10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31B95" w14:textId="77777777" w:rsidR="00E30D44" w:rsidRPr="00E30D44" w:rsidRDefault="00E30D44" w:rsidP="001A177F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0D4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260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A35F135" w14:textId="77777777" w:rsidR="00E30D44" w:rsidRPr="00E30D44" w:rsidRDefault="00E30D44" w:rsidP="001A177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30D4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C RETENTION IN TREATMENTS (SOIL + RESIDUE) [g]</w:t>
            </w:r>
          </w:p>
        </w:tc>
      </w:tr>
      <w:tr w:rsidR="00E30D44" w:rsidRPr="00E30D44" w14:paraId="3F16F5BE" w14:textId="77777777" w:rsidTr="001A177F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C1EF9" w14:textId="77777777" w:rsidR="00E30D44" w:rsidRPr="00E30D44" w:rsidRDefault="00E30D44" w:rsidP="001A177F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0D4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8D05E2" w14:textId="77777777" w:rsidR="00E30D44" w:rsidRPr="00E30D44" w:rsidRDefault="00E30D44" w:rsidP="001A177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30D4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PALOUSE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77743" w14:textId="77777777" w:rsidR="00E30D44" w:rsidRPr="00E30D44" w:rsidRDefault="00E30D44" w:rsidP="001A177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30D4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VERSHIRE</w:t>
            </w:r>
          </w:p>
        </w:tc>
      </w:tr>
      <w:tr w:rsidR="00E30D44" w:rsidRPr="00E30D44" w14:paraId="2982E681" w14:textId="77777777" w:rsidTr="001A177F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E60E6" w14:textId="77777777" w:rsidR="00E30D44" w:rsidRPr="00E30D44" w:rsidRDefault="00E30D44" w:rsidP="001A177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30D4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CS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8696B"/>
            <w:noWrap/>
            <w:vAlign w:val="bottom"/>
            <w:hideMark/>
          </w:tcPr>
          <w:p w14:paraId="64385775" w14:textId="77777777" w:rsidR="00E30D44" w:rsidRPr="00E30D44" w:rsidRDefault="00E30D44" w:rsidP="001A177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0D4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2.55%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696B"/>
            <w:noWrap/>
            <w:vAlign w:val="bottom"/>
            <w:hideMark/>
          </w:tcPr>
          <w:p w14:paraId="607FFFBD" w14:textId="77777777" w:rsidR="00E30D44" w:rsidRPr="00E30D44" w:rsidRDefault="00E30D44" w:rsidP="001A177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0D4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3.35%</w:t>
            </w:r>
          </w:p>
        </w:tc>
      </w:tr>
      <w:tr w:rsidR="00E30D44" w:rsidRPr="00E30D44" w14:paraId="487E7C7B" w14:textId="77777777" w:rsidTr="001A177F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1AB79" w14:textId="77777777" w:rsidR="00E30D44" w:rsidRPr="00E30D44" w:rsidRDefault="00E30D44" w:rsidP="001A177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30D4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AD</w:t>
            </w:r>
          </w:p>
        </w:tc>
        <w:tc>
          <w:tcPr>
            <w:tcW w:w="126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14:paraId="0FABF4D0" w14:textId="77777777" w:rsidR="00E30D44" w:rsidRPr="00E30D44" w:rsidRDefault="00E30D44" w:rsidP="001A177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0D4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3.99%</w:t>
            </w: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52DB7759" w14:textId="77777777" w:rsidR="00E30D44" w:rsidRPr="00E30D44" w:rsidRDefault="00E30D44" w:rsidP="001A177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0D4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3.80%</w:t>
            </w:r>
          </w:p>
        </w:tc>
      </w:tr>
      <w:tr w:rsidR="00E30D44" w:rsidRPr="00E30D44" w14:paraId="434AD7DC" w14:textId="77777777" w:rsidTr="001A177F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A4AC8" w14:textId="77777777" w:rsidR="00E30D44" w:rsidRPr="00E30D44" w:rsidRDefault="00E30D44" w:rsidP="001A177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30D4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CCBP</w:t>
            </w:r>
          </w:p>
        </w:tc>
        <w:tc>
          <w:tcPr>
            <w:tcW w:w="126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86B6B"/>
            <w:noWrap/>
            <w:vAlign w:val="bottom"/>
            <w:hideMark/>
          </w:tcPr>
          <w:p w14:paraId="6993BB29" w14:textId="77777777" w:rsidR="00E30D44" w:rsidRPr="00E30D44" w:rsidRDefault="00E30D44" w:rsidP="001A177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0D4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2.56%</w:t>
            </w: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BAA77"/>
            <w:noWrap/>
            <w:vAlign w:val="bottom"/>
            <w:hideMark/>
          </w:tcPr>
          <w:p w14:paraId="6380124C" w14:textId="77777777" w:rsidR="00E30D44" w:rsidRPr="00E30D44" w:rsidRDefault="00E30D44" w:rsidP="001A177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0D4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3.48%</w:t>
            </w:r>
          </w:p>
        </w:tc>
      </w:tr>
      <w:tr w:rsidR="00E30D44" w:rsidRPr="00E30D44" w14:paraId="4218A665" w14:textId="77777777" w:rsidTr="001A177F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47DC21" w14:textId="77777777" w:rsidR="00E30D44" w:rsidRPr="00E30D44" w:rsidRDefault="00E30D44" w:rsidP="001A177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30D4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DASE</w:t>
            </w:r>
          </w:p>
        </w:tc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B7D780"/>
            <w:noWrap/>
            <w:vAlign w:val="bottom"/>
            <w:hideMark/>
          </w:tcPr>
          <w:p w14:paraId="44D4A339" w14:textId="77777777" w:rsidR="00E30D44" w:rsidRPr="00E30D44" w:rsidRDefault="00E30D44" w:rsidP="001A177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0D4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3.47%</w:t>
            </w: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7CD7E"/>
            <w:noWrap/>
            <w:vAlign w:val="bottom"/>
            <w:hideMark/>
          </w:tcPr>
          <w:p w14:paraId="2C869541" w14:textId="77777777" w:rsidR="00E30D44" w:rsidRPr="00E30D44" w:rsidRDefault="00E30D44" w:rsidP="001A177F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30D44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3.74%</w:t>
            </w:r>
          </w:p>
        </w:tc>
      </w:tr>
    </w:tbl>
    <w:p w14:paraId="46B44AFB" w14:textId="77777777" w:rsidR="00E30D44" w:rsidRDefault="00E30D44" w:rsidP="00E30D44"/>
    <w:p w14:paraId="0DAD544E" w14:textId="77777777" w:rsidR="00E30D44" w:rsidRDefault="00E30D44" w:rsidP="00E30D44">
      <w:r>
        <w:t xml:space="preserve">Interpretation: Trends are the same across soil </w:t>
      </w:r>
      <w:proofErr w:type="gramStart"/>
      <w:r>
        <w:t>types..</w:t>
      </w:r>
      <w:proofErr w:type="gramEnd"/>
      <w:r>
        <w:t xml:space="preserve"> If statistical analysis applied on data, may show that differences are reconcilable. In order of increasing C retention for both: CS, C-CBP, DASE, AD. </w:t>
      </w:r>
    </w:p>
    <w:p w14:paraId="0741836A" w14:textId="00FEC408" w:rsidR="00E30D44" w:rsidRDefault="00E30D44"/>
    <w:p w14:paraId="73CED178" w14:textId="6046EBF1" w:rsidR="00E30D44" w:rsidRDefault="00E30D44">
      <w:r>
        <w:br w:type="page"/>
      </w:r>
    </w:p>
    <w:p w14:paraId="570539CF" w14:textId="7E8796CF" w:rsidR="00E30D44" w:rsidRDefault="00E30D44">
      <w:r>
        <w:rPr>
          <w:noProof/>
        </w:rPr>
        <w:lastRenderedPageBreak/>
        <w:drawing>
          <wp:inline distT="0" distB="0" distL="0" distR="0" wp14:anchorId="32B17085" wp14:editId="34775601">
            <wp:extent cx="8229600" cy="2743200"/>
            <wp:effectExtent l="0" t="0" r="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42AF" w14:textId="612B3A4E" w:rsidR="00E30D44" w:rsidRDefault="00E30D44">
      <w:r>
        <w:rPr>
          <w:noProof/>
        </w:rPr>
        <w:drawing>
          <wp:inline distT="0" distB="0" distL="0" distR="0" wp14:anchorId="635BFC11" wp14:editId="64749F8E">
            <wp:extent cx="8229600" cy="2743200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A949" w14:textId="379BD4CB" w:rsidR="00E30D44" w:rsidRDefault="00E30D44">
      <w:r>
        <w:t xml:space="preserve">Interpretation: Sampling schedule appears effective. First three months </w:t>
      </w:r>
      <w:proofErr w:type="gramStart"/>
      <w:r>
        <w:t>definitely the</w:t>
      </w:r>
      <w:proofErr w:type="gramEnd"/>
      <w:r>
        <w:t xml:space="preserve"> most important. Precision appears relatively high. </w:t>
      </w:r>
    </w:p>
    <w:p w14:paraId="3A63D63F" w14:textId="37604623" w:rsidR="00E30D44" w:rsidRDefault="00E30D44"/>
    <w:p w14:paraId="78B87813" w14:textId="6559F941" w:rsidR="00E30D44" w:rsidRDefault="00E30D44">
      <w:r>
        <w:rPr>
          <w:noProof/>
        </w:rPr>
        <w:drawing>
          <wp:inline distT="0" distB="0" distL="0" distR="0" wp14:anchorId="33172C5F" wp14:editId="6722F6BB">
            <wp:extent cx="8229600" cy="2743200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76434" wp14:editId="5FAA863A">
            <wp:extent cx="8229600" cy="2743200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0F99" w14:textId="77777777" w:rsidR="00E30D44" w:rsidRDefault="00E30D44">
      <w:r>
        <w:br w:type="page"/>
      </w:r>
    </w:p>
    <w:p w14:paraId="403E51B8" w14:textId="77777777" w:rsidR="005D6A69" w:rsidRDefault="005D6A69" w:rsidP="005D6A69">
      <w:r>
        <w:rPr>
          <w:noProof/>
        </w:rPr>
        <w:lastRenderedPageBreak/>
        <mc:AlternateContent>
          <mc:Choice Requires="cx1">
            <w:drawing>
              <wp:inline distT="0" distB="0" distL="0" distR="0" wp14:anchorId="3E0B4959" wp14:editId="5209C0A2">
                <wp:extent cx="3666744" cy="2112264"/>
                <wp:effectExtent l="0" t="0" r="3810" b="8890"/>
                <wp:docPr id="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B6D24FD-D734-5DC0-3527-293E5CF7B10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0"/>
                  </a:graphicData>
                </a:graphic>
              </wp:inline>
            </w:drawing>
          </mc:Choice>
          <mc:Fallback>
            <w:drawing>
              <wp:inline distT="0" distB="0" distL="0" distR="0" wp14:anchorId="3E0B4959" wp14:editId="5209C0A2">
                <wp:extent cx="3666744" cy="2112264"/>
                <wp:effectExtent l="0" t="0" r="3810" b="8890"/>
                <wp:docPr id="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B6D24FD-D734-5DC0-3527-293E5CF7B101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Chart 1">
                          <a:extLst>
                            <a:ext uri="{FF2B5EF4-FFF2-40B4-BE49-F238E27FC236}">
                              <a16:creationId xmlns:a16="http://schemas.microsoft.com/office/drawing/2014/main" id="{1B6D24FD-D734-5DC0-3527-293E5CF7B101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6490" cy="21120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noProof/>
        </w:rPr>
        <mc:AlternateContent>
          <mc:Choice Requires="cx1">
            <w:drawing>
              <wp:inline distT="0" distB="0" distL="0" distR="0" wp14:anchorId="5B2FF6DE" wp14:editId="5A1E91B1">
                <wp:extent cx="3657600" cy="2121281"/>
                <wp:effectExtent l="0" t="0" r="0" b="0"/>
                <wp:docPr id="2" name="Chart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1C2D1A7C-9891-FD49-851D-3968FACCC1E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2"/>
                  </a:graphicData>
                </a:graphic>
              </wp:inline>
            </w:drawing>
          </mc:Choice>
          <mc:Fallback>
            <w:drawing>
              <wp:inline distT="0" distB="0" distL="0" distR="0" wp14:anchorId="5B2FF6DE" wp14:editId="5A1E91B1">
                <wp:extent cx="3657600" cy="2121281"/>
                <wp:effectExtent l="0" t="0" r="0" b="0"/>
                <wp:docPr id="2" name="Chart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1C2D1A7C-9891-FD49-851D-3968FACCC1E4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Chart 2">
                          <a:extLst>
                            <a:ext uri="{FF2B5EF4-FFF2-40B4-BE49-F238E27FC236}">
                              <a16:creationId xmlns:a16="http://schemas.microsoft.com/office/drawing/2014/main" id="{1C2D1A7C-9891-FD49-851D-3968FACCC1E4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00" cy="2120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1D1D377" w14:textId="77777777" w:rsidR="005D6A69" w:rsidRDefault="005D6A69" w:rsidP="005D6A69"/>
    <w:p w14:paraId="59AA4AFB" w14:textId="77777777" w:rsidR="005D6A69" w:rsidRDefault="005D6A69" w:rsidP="005D6A69">
      <w:r>
        <w:rPr>
          <w:noProof/>
        </w:rPr>
        <mc:AlternateContent>
          <mc:Choice Requires="cx1">
            <w:drawing>
              <wp:inline distT="0" distB="0" distL="0" distR="0" wp14:anchorId="61C8147B" wp14:editId="53C6A313">
                <wp:extent cx="3657600" cy="2093468"/>
                <wp:effectExtent l="0" t="0" r="0" b="2540"/>
                <wp:docPr id="3" name="Chart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788D117-BAF0-9D42-85E3-A01319F2246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4"/>
                  </a:graphicData>
                </a:graphic>
              </wp:inline>
            </w:drawing>
          </mc:Choice>
          <mc:Fallback>
            <w:drawing>
              <wp:inline distT="0" distB="0" distL="0" distR="0" wp14:anchorId="61C8147B" wp14:editId="53C6A313">
                <wp:extent cx="3657600" cy="2093468"/>
                <wp:effectExtent l="0" t="0" r="0" b="2540"/>
                <wp:docPr id="3" name="Chart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788D117-BAF0-9D42-85E3-A01319F22460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Chart 3">
                          <a:extLst>
                            <a:ext uri="{FF2B5EF4-FFF2-40B4-BE49-F238E27FC236}">
                              <a16:creationId xmlns:a16="http://schemas.microsoft.com/office/drawing/2014/main" id="{E788D117-BAF0-9D42-85E3-A01319F22460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00" cy="2092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noProof/>
        </w:rPr>
        <mc:AlternateContent>
          <mc:Choice Requires="cx1">
            <w:drawing>
              <wp:inline distT="0" distB="0" distL="0" distR="0" wp14:anchorId="066AFB6E" wp14:editId="513C512C">
                <wp:extent cx="3657600" cy="2093849"/>
                <wp:effectExtent l="0" t="0" r="0" b="1905"/>
                <wp:docPr id="4" name="Chart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F2C9E613-FF15-7B48-8861-26203267FD7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6"/>
                  </a:graphicData>
                </a:graphic>
              </wp:inline>
            </w:drawing>
          </mc:Choice>
          <mc:Fallback>
            <w:drawing>
              <wp:inline distT="0" distB="0" distL="0" distR="0" wp14:anchorId="066AFB6E" wp14:editId="513C512C">
                <wp:extent cx="3657600" cy="2093849"/>
                <wp:effectExtent l="0" t="0" r="0" b="1905"/>
                <wp:docPr id="4" name="Chart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F2C9E613-FF15-7B48-8861-26203267FD78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hart 4">
                          <a:extLst>
                            <a:ext uri="{FF2B5EF4-FFF2-40B4-BE49-F238E27FC236}">
                              <a16:creationId xmlns:a16="http://schemas.microsoft.com/office/drawing/2014/main" id="{F2C9E613-FF15-7B48-8861-26203267FD78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00" cy="2093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50B5559" w14:textId="77777777" w:rsidR="005D6A69" w:rsidRDefault="005D6A69" w:rsidP="005D6A69"/>
    <w:p w14:paraId="4ED63330" w14:textId="77777777" w:rsidR="005D6A69" w:rsidRDefault="005D6A69" w:rsidP="005D6A69">
      <w:r>
        <w:t xml:space="preserve">Interpretation: MBC is relatively comparable between soil types. Trends of Palouse show MBC increasing from control, DASE, AD, C-CBP~CS; Trends of </w:t>
      </w:r>
      <w:proofErr w:type="spellStart"/>
      <w:r>
        <w:t>Vershire</w:t>
      </w:r>
      <w:proofErr w:type="spellEnd"/>
      <w:r>
        <w:t xml:space="preserve"> show MBC increasing from DASE, AD, control, C-CBP, CS. MBN is not similar between soil types nor precise. Different magnitudes of values and trends are entirely different. Values possible too small to detect.</w:t>
      </w:r>
    </w:p>
    <w:p w14:paraId="0A769C05" w14:textId="77777777" w:rsidR="005D6A69" w:rsidRDefault="005D6A69" w:rsidP="005D6A69">
      <w:r>
        <w:rPr>
          <w:noProof/>
        </w:rPr>
        <w:lastRenderedPageBreak/>
        <w:drawing>
          <wp:inline distT="0" distB="0" distL="0" distR="0" wp14:anchorId="1202F741" wp14:editId="16D42C2B">
            <wp:extent cx="8229600" cy="4268470"/>
            <wp:effectExtent l="0" t="0" r="0" b="0"/>
            <wp:docPr id="5" name="Picture 5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waterfall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2EA8" w14:textId="77777777" w:rsidR="005D6A69" w:rsidRDefault="005D6A69" w:rsidP="005D6A69"/>
    <w:p w14:paraId="1CA69769" w14:textId="77777777" w:rsidR="005D6A69" w:rsidRDefault="005D6A69" w:rsidP="005D6A69">
      <w:r>
        <w:t xml:space="preserve">Interpretation: MBC values may be too variable if not carefully rounded especially for </w:t>
      </w:r>
      <w:proofErr w:type="spellStart"/>
      <w:r>
        <w:t>Vershire</w:t>
      </w:r>
      <w:proofErr w:type="spellEnd"/>
      <w:r>
        <w:t xml:space="preserve"> with consistently larger </w:t>
      </w:r>
      <w:proofErr w:type="spellStart"/>
      <w:r>
        <w:t>dataspread</w:t>
      </w:r>
      <w:proofErr w:type="spellEnd"/>
      <w:r>
        <w:t xml:space="preserve">. </w:t>
      </w:r>
    </w:p>
    <w:p w14:paraId="67D4AF67" w14:textId="77777777" w:rsidR="00E30D44" w:rsidRDefault="00E30D44"/>
    <w:sectPr w:rsidR="00E30D44" w:rsidSect="00C0174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A3F"/>
    <w:rsid w:val="00062311"/>
    <w:rsid w:val="00067FC4"/>
    <w:rsid w:val="003A2675"/>
    <w:rsid w:val="005D6A69"/>
    <w:rsid w:val="005E7B11"/>
    <w:rsid w:val="005F5558"/>
    <w:rsid w:val="0090122E"/>
    <w:rsid w:val="00A1378B"/>
    <w:rsid w:val="00A77587"/>
    <w:rsid w:val="00B21853"/>
    <w:rsid w:val="00C01746"/>
    <w:rsid w:val="00D13A3F"/>
    <w:rsid w:val="00D9145A"/>
    <w:rsid w:val="00E30D44"/>
    <w:rsid w:val="00E85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68F6A2"/>
  <w14:defaultImageDpi w14:val="32767"/>
  <w15:chartTrackingRefBased/>
  <w15:docId w15:val="{F5934781-B9D4-6F4D-A620-723811753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5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microsoft.com/office/2014/relationships/chartEx" Target="charts/chartEx2.xm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microsoft.com/office/2014/relationships/chartEx" Target="charts/chartEx4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microsoft.com/office/2014/relationships/chartEx" Target="charts/chartEx1.xm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microsoft.com/office/2014/relationships/chartEx" Target="charts/chartEx3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Style" Target="style1.xml"/><Relationship Id="rId2" Type="http://schemas.openxmlformats.org/officeDocument/2006/relationships/image" Target="../media/image7.png"/><Relationship Id="rId1" Type="http://schemas.openxmlformats.org/officeDocument/2006/relationships/oleObject" Target="file:////Users/michellewang/Desktop/Microbial%20biomass%20and%20N/newMicrobial%20biomass%20example%20calculations.xlsx" TargetMode="External"/><Relationship Id="rId4" Type="http://schemas.microsoft.com/office/2011/relationships/chartColorStyle" Target="colors1.xm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Style" Target="style2.xml"/><Relationship Id="rId2" Type="http://schemas.openxmlformats.org/officeDocument/2006/relationships/image" Target="../media/image7.png"/><Relationship Id="rId1" Type="http://schemas.openxmlformats.org/officeDocument/2006/relationships/oleObject" Target="file:////Users/michellewang/Desktop/Microbial%20biomass%20and%20N/newMicrobial%20biomass%20example%20calculations.xlsx" TargetMode="External"/><Relationship Id="rId4" Type="http://schemas.microsoft.com/office/2011/relationships/chartColorStyle" Target="colors2.xm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Style" Target="style3.xml"/><Relationship Id="rId2" Type="http://schemas.openxmlformats.org/officeDocument/2006/relationships/image" Target="../media/image7.png"/><Relationship Id="rId1" Type="http://schemas.openxmlformats.org/officeDocument/2006/relationships/oleObject" Target="file:////Users/michellewang/Desktop/Microbial%20biomass%20and%20N/newMicrobial%20biomass%20example%20calculations.xlsx" TargetMode="External"/><Relationship Id="rId4" Type="http://schemas.microsoft.com/office/2011/relationships/chartColorStyle" Target="colors3.xml"/></Relationships>
</file>

<file path=word/charts/_rels/chartEx4.xml.rels><?xml version="1.0" encoding="UTF-8" standalone="yes"?>
<Relationships xmlns="http://schemas.openxmlformats.org/package/2006/relationships"><Relationship Id="rId3" Type="http://schemas.microsoft.com/office/2011/relationships/chartStyle" Target="style4.xml"/><Relationship Id="rId2" Type="http://schemas.openxmlformats.org/officeDocument/2006/relationships/image" Target="../media/image7.png"/><Relationship Id="rId1" Type="http://schemas.openxmlformats.org/officeDocument/2006/relationships/oleObject" Target="file:////Users/michellewang/Desktop/Microbial%20biomass%20and%20N/newMicrobial%20biomass%20example%20calculations.xlsx" TargetMode="External"/><Relationship Id="rId4" Type="http://schemas.microsoft.com/office/2011/relationships/chartColorStyle" Target="colors4.xml"/></Relationships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TOC!$K$2:$K$20</cx:f>
        <cx:lvl ptCount="19">
          <cx:pt idx="0">Control</cx:pt>
          <cx:pt idx="1">Control</cx:pt>
          <cx:pt idx="2">Control</cx:pt>
          <cx:pt idx="3">Control</cx:pt>
          <cx:pt idx="4">CS</cx:pt>
          <cx:pt idx="5">CS</cx:pt>
          <cx:pt idx="6">CS</cx:pt>
          <cx:pt idx="7">CS</cx:pt>
          <cx:pt idx="8">AD HLFB</cx:pt>
          <cx:pt idx="9">AD HLFB</cx:pt>
          <cx:pt idx="10">AD HLFB</cx:pt>
          <cx:pt idx="11">C-CBP HLFB</cx:pt>
          <cx:pt idx="12">C-CBP HLFB</cx:pt>
          <cx:pt idx="13">C-CBP HLFB</cx:pt>
          <cx:pt idx="14">C-CBP HLFB</cx:pt>
          <cx:pt idx="15">DASE HLFB</cx:pt>
          <cx:pt idx="16">DASE HLFB</cx:pt>
          <cx:pt idx="17">DASE HLFB</cx:pt>
          <cx:pt idx="18">DASE HLFB</cx:pt>
        </cx:lvl>
      </cx:strDim>
      <cx:numDim type="val">
        <cx:f>TOC!$J$2:$J$20</cx:f>
        <cx:lvl ptCount="19" formatCode="General">
          <cx:pt idx="0">0.091563543356384974</cx:pt>
          <cx:pt idx="1">0.08052386026719309</cx:pt>
          <cx:pt idx="2">0.10426584199092141</cx:pt>
          <cx:pt idx="3">0.067166827504793497</cx:pt>
          <cx:pt idx="4">0.50472225951788507</cx:pt>
          <cx:pt idx="5">0.5998061418165811</cx:pt>
          <cx:pt idx="6">0.6779527728253173</cx:pt>
          <cx:pt idx="7">0.41143635345030288</cx:pt>
          <cx:pt idx="8">0.36050171185586666</cx:pt>
          <cx:pt idx="9">0.38851840169401819</cx:pt>
          <cx:pt idx="10">0.33681322943320702</cx:pt>
          <cx:pt idx="11">0.56711342910277707</cx:pt>
          <cx:pt idx="12">0.55959534438969605</cx:pt>
          <cx:pt idx="13">0.57724620215940436</cx:pt>
          <cx:pt idx="14">0.52419716789463766</cx:pt>
          <cx:pt idx="15">0.22654071234947945</cx:pt>
          <cx:pt idx="16">0.2211579930421107</cx:pt>
          <cx:pt idx="17">0.22702334190147588</cx:pt>
          <cx:pt idx="18">0.1944063456032957</cx:pt>
        </cx:lvl>
      </cx:numDim>
    </cx:data>
  </cx:chartData>
  <cx:chart>
    <cx:title pos="t" align="ctr" overlay="0">
      <cx:tx>
        <cx:txData>
          <cx:v>Palouse: Microbical Biomass Carbon</cx:v>
        </cx:txData>
      </cx:tx>
      <cx:txPr>
        <a:bodyPr rot="0" spcFirstLastPara="1" vertOverflow="ellipsis" vert="horz" wrap="square" lIns="38100" tIns="19050" rIns="38100" bIns="19050" anchor="ctr" anchorCtr="1" compatLnSpc="0"/>
        <a:lstStyle/>
        <a:p>
          <a:pPr algn="ctr" rtl="0"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r>
            <a:rPr kumimoji="0" lang="en-US" sz="1400" b="0" i="0" u="none" strike="noStrike" kern="1200" cap="none" spc="0" normalizeH="0" baseline="0" noProof="0">
              <a:ln>
                <a:noFill/>
              </a:ln>
              <a:solidFill>
                <a:sysClr val="windowText" lastClr="000000">
                  <a:lumMod val="65000"/>
                  <a:lumOff val="35000"/>
                </a:sysClr>
              </a:solidFill>
              <a:effectLst/>
              <a:uLnTx/>
              <a:uFillTx/>
              <a:latin typeface="Calibri" panose="020F0502020204030204"/>
            </a:rPr>
            <a:t>Palouse: Microbical Biomass Carbon</a:t>
          </a:r>
        </a:p>
      </cx:txPr>
    </cx:title>
    <cx:plotArea>
      <cx:plotAreaRegion>
        <cx:series layoutId="boxWhisker" uniqueId="{C27F369F-B580-CA46-9D02-4FF84843BFDD}">
          <cx:tx>
            <cx:txData>
              <cx:f>TOC!$J$1</cx:f>
              <cx:v>MBC (mg C/g dry soil)</cx:v>
            </cx:txData>
          </cx:tx>
          <cx:spPr>
            <a:blipFill>
              <a:blip r:embed="rId2"/>
              <a:tile tx="0" ty="0" sx="100000" sy="100000" flip="none" algn="tl"/>
            </a:blipFill>
          </cx:spPr>
          <cx:dataId val="0"/>
          <cx:layoutPr>
            <cx:visibility meanLine="0"/>
            <cx:statistics quartileMethod="exclusive"/>
          </cx:layoutPr>
        </cx:series>
      </cx:plotAreaRegion>
      <cx:axis id="0">
        <cx:catScaling/>
        <cx:majorGridlines/>
        <cx:tickLabels/>
      </cx:axis>
      <cx:axis id="1">
        <cx:valScaling/>
        <cx:title>
          <cx:tx>
            <cx:txData>
              <cx:v>Microbial Biomass Carbon (mg C/g dry soil)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Microbial Biomass Carbon (mg C/g dry soil)</a:t>
              </a:r>
            </a:p>
          </cx:txPr>
        </cx:title>
        <cx:majorGridlines/>
        <cx:tickLabels/>
      </cx:axis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TOC!$K$21:$K$39</cx:f>
        <cx:lvl ptCount="19">
          <cx:pt idx="0">Control</cx:pt>
          <cx:pt idx="1">Control</cx:pt>
          <cx:pt idx="2">Control</cx:pt>
          <cx:pt idx="3">Control</cx:pt>
          <cx:pt idx="4">CS</cx:pt>
          <cx:pt idx="5">CS</cx:pt>
          <cx:pt idx="6">CS</cx:pt>
          <cx:pt idx="7">CS</cx:pt>
          <cx:pt idx="8">AD HLFB</cx:pt>
          <cx:pt idx="9">AD HLFB</cx:pt>
          <cx:pt idx="10">AD HLFB</cx:pt>
          <cx:pt idx="11">C-CBP HLFB</cx:pt>
          <cx:pt idx="12">C-CBP HLFB</cx:pt>
          <cx:pt idx="13">C-CBP HLFB</cx:pt>
          <cx:pt idx="14">C-CBP HLFB</cx:pt>
          <cx:pt idx="15">DASE HLFB</cx:pt>
          <cx:pt idx="16">DASE HLFB</cx:pt>
          <cx:pt idx="17">DASE HLFB</cx:pt>
          <cx:pt idx="18">DASE HLFB</cx:pt>
        </cx:lvl>
      </cx:strDim>
      <cx:numDim type="val">
        <cx:f>TOC!$J$21:$J$39</cx:f>
        <cx:lvl ptCount="19" formatCode="General">
          <cx:pt idx="0">0.22078948420216266</cx:pt>
          <cx:pt idx="1">0.28501958990737991</cx:pt>
          <cx:pt idx="2">0.18782305673533178</cx:pt>
          <cx:pt idx="3">0.33043170632087177</cx:pt>
          <cx:pt idx="4">0.69699625931826592</cx:pt>
          <cx:pt idx="5">0.7193371873712322</cx:pt>
          <cx:pt idx="6">0.71140643020455452</cx:pt>
          <cx:pt idx="7">0.59773655183725438</cx:pt>
          <cx:pt idx="8">0.20882817393469161</cx:pt>
          <cx:pt idx="9">0.17622476216526844</cx:pt>
          <cx:pt idx="10">0.16574141212929322</cx:pt>
          <cx:pt idx="11">0.50505652124314326</cx:pt>
          <cx:pt idx="12">0.60380672668174062</cx:pt>
          <cx:pt idx="13">0.61692110277247736</cx:pt>
          <cx:pt idx="14">0.6046157994275615</cx:pt>
          <cx:pt idx="15">0.15209385506684078</cx:pt>
          <cx:pt idx="16">0.24271289630830523</cx:pt>
          <cx:pt idx="17">0.1457800071508758</cx:pt>
          <cx:pt idx="18">0.066009610244887482</cx:pt>
        </cx:lvl>
      </cx:numDim>
    </cx:data>
  </cx:chartData>
  <cx:chart>
    <cx:title pos="t" align="ctr" overlay="0">
      <cx:tx>
        <cx:txData>
          <cx:v>Vershire: Microbical Biomass Carbon</cx:v>
        </cx:txData>
      </cx:tx>
      <cx:txPr>
        <a:bodyPr rot="0" spcFirstLastPara="1" vertOverflow="ellipsis" vert="horz" wrap="square" lIns="38100" tIns="19050" rIns="38100" bIns="19050" anchor="ctr" anchorCtr="1" compatLnSpc="0"/>
        <a:lstStyle/>
        <a:p>
          <a:pPr algn="ctr" rtl="0"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r>
            <a:rPr kumimoji="0" lang="en-US" sz="1400" b="0" i="0" u="none" strike="noStrike" kern="1200" cap="none" spc="0" normalizeH="0" baseline="0" noProof="0">
              <a:ln>
                <a:noFill/>
              </a:ln>
              <a:solidFill>
                <a:sysClr val="windowText" lastClr="000000">
                  <a:lumMod val="65000"/>
                  <a:lumOff val="35000"/>
                </a:sysClr>
              </a:solidFill>
              <a:effectLst/>
              <a:uLnTx/>
              <a:uFillTx/>
              <a:latin typeface="Calibri" panose="020F0502020204030204"/>
            </a:rPr>
            <a:t>Vershire: Microbical Biomass Carbon</a:t>
          </a:r>
        </a:p>
      </cx:txPr>
    </cx:title>
    <cx:plotArea>
      <cx:plotAreaRegion>
        <cx:series layoutId="boxWhisker" uniqueId="{C27F369F-B580-CA46-9D02-4FF84843BFDD}">
          <cx:tx>
            <cx:txData>
              <cx:f>TOC!$J$1</cx:f>
              <cx:v>MBC (mg C/g dry soil)</cx:v>
            </cx:txData>
          </cx:tx>
          <cx:spPr>
            <a:blipFill>
              <a:blip r:embed="rId2"/>
              <a:tile tx="0" ty="0" sx="100000" sy="100000" flip="none" algn="tl"/>
            </a:blipFill>
          </cx:spPr>
          <cx:dataId val="0"/>
          <cx:layoutPr>
            <cx:visibility meanLine="0"/>
            <cx:statistics quartileMethod="exclusive"/>
          </cx:layoutPr>
        </cx:series>
      </cx:plotAreaRegion>
      <cx:axis id="0">
        <cx:catScaling/>
        <cx:majorGridlines/>
        <cx:tickLabels/>
      </cx:axis>
      <cx:axis id="1">
        <cx:valScaling/>
        <cx:title>
          <cx:tx>
            <cx:txData>
              <cx:v>Microbial Biomass Carbon (mg C/g dry soil)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Microbial Biomass Carbon (mg C/g dry soil)</a:t>
              </a:r>
            </a:p>
          </cx:txPr>
        </cx:title>
        <cx:majorGridlines/>
        <cx:tickLabels/>
      </cx:axis>
    </cx:plotArea>
  </cx:chart>
  <cx:spPr>
    <a:solidFill>
      <a:schemeClr val="lt1"/>
    </a:solidFill>
  </cx:spPr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'NO3+NH4'!$K$2:$K$20</cx:f>
        <cx:lvl ptCount="19">
          <cx:pt idx="0">Control</cx:pt>
          <cx:pt idx="1">Control</cx:pt>
          <cx:pt idx="2">Control</cx:pt>
          <cx:pt idx="3">Control</cx:pt>
          <cx:pt idx="4">CS</cx:pt>
          <cx:pt idx="5">CS</cx:pt>
          <cx:pt idx="6">CS</cx:pt>
          <cx:pt idx="7">CS</cx:pt>
          <cx:pt idx="8">AD HLFB</cx:pt>
          <cx:pt idx="9">AD HLFB</cx:pt>
          <cx:pt idx="10">AD HLFB</cx:pt>
          <cx:pt idx="11">C-CBP HLFB</cx:pt>
          <cx:pt idx="12">C-CBP HLFB</cx:pt>
          <cx:pt idx="13">C-CBP HLFB</cx:pt>
          <cx:pt idx="14">C-CBP HLFB</cx:pt>
          <cx:pt idx="15">DASE HLFB</cx:pt>
          <cx:pt idx="16">DASE HLFB</cx:pt>
          <cx:pt idx="17">DASE HLFB</cx:pt>
          <cx:pt idx="18">DASE HLFB</cx:pt>
        </cx:lvl>
      </cx:strDim>
      <cx:numDim type="val">
        <cx:f>'NO3+NH4'!$J$2:$J$20</cx:f>
        <cx:lvl ptCount="19" formatCode="General">
          <cx:pt idx="0">0.00011130409932222016</cx:pt>
          <cx:pt idx="1">0</cx:pt>
          <cx:pt idx="2">0.00025714509354306941</cx:pt>
          <cx:pt idx="3">0</cx:pt>
          <cx:pt idx="4">0.003765109366010648</cx:pt>
          <cx:pt idx="5">0.0030354766044604657</cx:pt>
          <cx:pt idx="6">0.0026974977731242149</cx:pt>
          <cx:pt idx="7">0.0025722242478718816</cx:pt>
          <cx:pt idx="8">0.0030445010183691654</cx:pt>
          <cx:pt idx="9">0.0059482748343568891</cx:pt>
          <cx:pt idx="10">0.0047929507006816661</cx:pt>
          <cx:pt idx="11">0.0066034218322999841</cx:pt>
          <cx:pt idx="12">0.0034627670622836004</cx:pt>
          <cx:pt idx="13">0.011569988009054788</cx:pt>
          <cx:pt idx="14">0.0092311418433228907</cx:pt>
          <cx:pt idx="15">0.014223829583200731</cx:pt>
          <cx:pt idx="16">0</cx:pt>
          <cx:pt idx="17">0.025357468599860933</cx:pt>
          <cx:pt idx="18">0.067172520259923818</cx:pt>
        </cx:lvl>
      </cx:numDim>
    </cx:data>
  </cx:chartData>
  <cx:chart>
    <cx:title pos="t" align="ctr" overlay="0">
      <cx:tx>
        <cx:txData>
          <cx:v>Palouse: Microbial Biomass Nitrogen (MBN)</cx:v>
        </cx:txData>
      </cx:tx>
      <cx:txPr>
        <a:bodyPr rot="0" spcFirstLastPara="1" vertOverflow="ellipsis" vert="horz" wrap="square" lIns="38100" tIns="19050" rIns="38100" bIns="19050" anchor="ctr" anchorCtr="1" compatLnSpc="0"/>
        <a:lstStyle/>
        <a:p>
          <a:pPr algn="ctr" rtl="0"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r>
            <a:rPr kumimoji="0" lang="en-US" sz="1400" b="0" i="0" u="none" strike="noStrike" kern="1200" cap="none" spc="0" normalizeH="0" baseline="0" noProof="0">
              <a:ln>
                <a:noFill/>
              </a:ln>
              <a:solidFill>
                <a:sysClr val="windowText" lastClr="000000">
                  <a:lumMod val="65000"/>
                  <a:lumOff val="35000"/>
                </a:sysClr>
              </a:solidFill>
              <a:effectLst/>
              <a:uLnTx/>
              <a:uFillTx/>
              <a:latin typeface="Calibri" panose="020F0502020204030204"/>
            </a:rPr>
            <a:t>Palouse: Microbial Biomass Nitrogen (MBN)</a:t>
          </a:r>
        </a:p>
      </cx:txPr>
    </cx:title>
    <cx:plotArea>
      <cx:plotAreaRegion>
        <cx:series layoutId="boxWhisker" uniqueId="{C27F369F-B580-CA46-9D02-4FF84843BFDD}">
          <cx:tx>
            <cx:txData>
              <cx:f>'NO3+NH4'!$J$1</cx:f>
              <cx:v>MBN content (mg N/g dry soil)</cx:v>
            </cx:txData>
          </cx:tx>
          <cx:spPr>
            <a:blipFill>
              <a:blip r:embed="rId2"/>
              <a:tile tx="0" ty="0" sx="100000" sy="100000" flip="none" algn="tl"/>
            </a:blipFill>
          </cx:spPr>
          <cx:dataId val="0"/>
          <cx:layoutPr>
            <cx:visibility meanLine="0" outliers="1"/>
            <cx:statistics quartileMethod="exclusive"/>
          </cx:layoutPr>
        </cx:series>
      </cx:plotAreaRegion>
      <cx:axis id="0">
        <cx:catScaling/>
        <cx:majorGridlines/>
        <cx:tickLabels/>
      </cx:axis>
      <cx:axis id="1">
        <cx:valScaling/>
        <cx:title>
          <cx:tx>
            <cx:txData>
              <cx:v>Microbial Biomass Nitrogen (mg N/g dry soil)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Microbial Biomass Nitrogen (mg N/g dry soil)</a:t>
              </a:r>
            </a:p>
          </cx:txPr>
        </cx:title>
        <cx:majorGridlines/>
        <cx:tickLabels/>
      </cx:axis>
    </cx:plotArea>
  </cx:chart>
</cx:chartSpace>
</file>

<file path=word/charts/chartEx4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'NO3+NH4'!$K$21:$K$39</cx:f>
        <cx:lvl ptCount="19">
          <cx:pt idx="0">Control</cx:pt>
          <cx:pt idx="1">Control</cx:pt>
          <cx:pt idx="2">Control</cx:pt>
          <cx:pt idx="3">Control</cx:pt>
          <cx:pt idx="4">CS</cx:pt>
          <cx:pt idx="5">CS</cx:pt>
          <cx:pt idx="6">CS</cx:pt>
          <cx:pt idx="7">CS</cx:pt>
          <cx:pt idx="8">AD HLFB</cx:pt>
          <cx:pt idx="9">AD HLFB</cx:pt>
          <cx:pt idx="10">AD HLFB</cx:pt>
          <cx:pt idx="11">C-CBP HLFB</cx:pt>
          <cx:pt idx="12">C-CBP HLFB</cx:pt>
          <cx:pt idx="13">C-CBP HLFB</cx:pt>
          <cx:pt idx="14">C-CBP HLFB</cx:pt>
          <cx:pt idx="15">DASE HLFB</cx:pt>
          <cx:pt idx="16">DASE HLFB</cx:pt>
          <cx:pt idx="17">DASE HLFB</cx:pt>
          <cx:pt idx="18">DASE HLFB</cx:pt>
        </cx:lvl>
      </cx:strDim>
      <cx:numDim type="val">
        <cx:f>'NO3+NH4'!$J$21:$J$39</cx:f>
        <cx:lvl ptCount="19" formatCode="General">
          <cx:pt idx="0">0</cx:pt>
          <cx:pt idx="1">0</cx:pt>
          <cx:pt idx="2">0</cx:pt>
          <cx:pt idx="3">0</cx:pt>
          <cx:pt idx="4">0.029157333200434805</cx:pt>
          <cx:pt idx="5">0.032234403080507026</cx:pt>
          <cx:pt idx="6">0.023979118339445916</cx:pt>
          <cx:pt idx="7">0.029002335647553137</cx:pt>
          <cx:pt idx="8">0.016420116699379542</cx:pt>
          <cx:pt idx="9">0.014404690326376916</cx:pt>
          <cx:pt idx="10">0.019162223696220105</cx:pt>
          <cx:pt idx="11">0.021130055386211911</cx:pt>
          <cx:pt idx="12">0.025598561204801015</cx:pt>
          <cx:pt idx="13">0.023538663351125991</cx:pt>
          <cx:pt idx="14">0.021465583355379056</cx:pt>
          <cx:pt idx="15">0.0056394575190010787</cx:pt>
          <cx:pt idx="16">0.0015137726990623046</cx:pt>
          <cx:pt idx="17">0.0040314519639429169</cx:pt>
          <cx:pt idx="18">0</cx:pt>
        </cx:lvl>
      </cx:numDim>
    </cx:data>
  </cx:chartData>
  <cx:chart>
    <cx:title pos="t" align="ctr" overlay="0">
      <cx:tx>
        <cx:txData>
          <cx:v>Vershire: Microbial Biomass Nitrogen (MBN)</cx:v>
        </cx:txData>
      </cx:tx>
      <cx:txPr>
        <a:bodyPr rot="0" spcFirstLastPara="1" vertOverflow="ellipsis" vert="horz" wrap="square" lIns="38100" tIns="19050" rIns="38100" bIns="19050" anchor="ctr" anchorCtr="1" compatLnSpc="0"/>
        <a:lstStyle/>
        <a:p>
          <a:pPr algn="ctr" rtl="0"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r>
            <a:rPr kumimoji="0" lang="en-US" sz="1400" b="0" i="0" u="none" strike="noStrike" kern="1200" cap="none" spc="0" normalizeH="0" baseline="0" noProof="0">
              <a:ln>
                <a:noFill/>
              </a:ln>
              <a:solidFill>
                <a:sysClr val="windowText" lastClr="000000">
                  <a:lumMod val="65000"/>
                  <a:lumOff val="35000"/>
                </a:sysClr>
              </a:solidFill>
              <a:effectLst/>
              <a:uLnTx/>
              <a:uFillTx/>
              <a:latin typeface="Calibri" panose="020F0502020204030204"/>
            </a:rPr>
            <a:t>Vershire: Microbial Biomass Nitrogen (MBN)</a:t>
          </a:r>
        </a:p>
      </cx:txPr>
    </cx:title>
    <cx:plotArea>
      <cx:plotAreaRegion>
        <cx:series layoutId="boxWhisker" uniqueId="{C27F369F-B580-CA46-9D02-4FF84843BFDD}">
          <cx:tx>
            <cx:txData>
              <cx:f>'NO3+NH4'!$J$1</cx:f>
              <cx:v>MBN content (mg N/g dry soil)</cx:v>
            </cx:txData>
          </cx:tx>
          <cx:spPr>
            <a:blipFill>
              <a:blip r:embed="rId2"/>
              <a:tile tx="0" ty="0" sx="100000" sy="100000" flip="none" algn="tl"/>
            </a:blipFill>
          </cx:spPr>
          <cx:dataId val="0"/>
          <cx:layoutPr>
            <cx:visibility meanLine="0"/>
            <cx:statistics quartileMethod="exclusive"/>
          </cx:layoutPr>
        </cx:series>
      </cx:plotAreaRegion>
      <cx:axis id="0">
        <cx:catScaling/>
        <cx:majorGridlines/>
        <cx:tickLabels/>
      </cx:axis>
      <cx:axis id="1">
        <cx:valScaling/>
        <cx:title>
          <cx:tx>
            <cx:txData>
              <cx:v>Microbial Biomass Nitrogen (mg N/g dry soil)</cx:v>
            </cx:txData>
          </cx:tx>
          <cx:txPr>
            <a:bodyPr spcFirstLastPara="1" vertOverflow="ellipsis" horzOverflow="overflow" wrap="square" lIns="0" tIns="0" rIns="0" bIns="0" anchor="ctr" anchorCtr="1"/>
            <a:lstStyle/>
            <a:p>
              <a:pPr algn="ctr" rtl="0">
                <a:defRPr/>
              </a:pPr>
              <a:r>
                <a:rPr lang="en-US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rPr>
                <a:t>Microbial Biomass Nitrogen (mg N/g dry soil)</a:t>
              </a:r>
            </a:p>
          </cx:txPr>
        </cx:title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198</Words>
  <Characters>1134</Characters>
  <Application>Microsoft Office Word</Application>
  <DocSecurity>0</DocSecurity>
  <Lines>9</Lines>
  <Paragraphs>2</Paragraphs>
  <ScaleCrop>false</ScaleCrop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S. Wang</dc:creator>
  <cp:keywords/>
  <dc:description/>
  <cp:lastModifiedBy>Michelle S. Wang</cp:lastModifiedBy>
  <cp:revision>17</cp:revision>
  <dcterms:created xsi:type="dcterms:W3CDTF">2022-08-29T22:12:00Z</dcterms:created>
  <dcterms:modified xsi:type="dcterms:W3CDTF">2022-10-04T14:30:00Z</dcterms:modified>
</cp:coreProperties>
</file>