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rFonts w:ascii="Arial" w:hAnsi="Arial"/>
          <w:b/>
          <w:sz w:val="38"/>
          <w:szCs w:val="38"/>
          <w:color w:val="1F3864"/>
        </w:rPr>
        <w:t xml:space="preserve">SQL Account  →  Wawasan LTS OMS</w:t>
      </w:r>
    </w:p>
    <w:p>
      <w:pPr>
        <w:spacing w:before="0" w:after="90"/>
      </w:pPr>
      <w:r>
        <w:rPr>
          <w:rFonts w:ascii="Arial" w:hAnsi="Arial"/>
          <w:i/>
          <w:sz w:val="19"/>
          <w:szCs w:val="19"/>
          <w:color w:val="555555"/>
        </w:rPr>
        <w:t xml:space="preserve">Integration handover · for your SQL Account person / IT. Goal: every new Sales Invoice appears on the factory order board automatically, with no re-typing. Prices, tax, costs and totals stay inside SQL Account — we never read or move money.</w:t>
      </w:r>
    </w:p>
    <w:p>
      <w:pPr>
        <w:pBdr>
          <w:bottom w:val="single" w:sz="6" w:space="2" w:color="C2410C"/>
        </w:pBdr>
        <w:spacing w:before="150" w:after="50"/>
      </w:pPr>
      <w:r>
        <w:rPr>
          <w:rFonts w:ascii="Arial" w:hAnsi="Arial"/>
          <w:b/>
          <w:sz w:val="24"/>
          <w:szCs w:val="24"/>
          <w:color w:val="C2410C"/>
        </w:rPr>
        <w:t xml:space="preserve">What we need — pick ONE way to share new Sales Invoices</w:t>
      </w:r>
    </w:p>
    <w:p>
      <w:pPr>
        <w:spacing w:before="40" w:after="20"/>
      </w:pPr>
      <w:r>
        <w:rPr>
          <w:rFonts w:ascii="Arial" w:hAnsi="Arial"/>
          <w:b/>
          <w:sz w:val="21"/>
          <w:szCs w:val="21"/>
          <w:color w:val="000000"/>
        </w:rPr>
        <w:t xml:space="preserve">Option A — CSV export</w:t>
      </w:r>
      <w:r>
        <w:rPr>
          <w:rFonts w:ascii="Arial" w:hAnsi="Arial"/>
          <w:i/>
          <w:sz w:val="19"/>
          <w:szCs w:val="19"/>
          <w:color w:val="555555"/>
        </w:rPr>
        <w:t xml:space="preserve">   (easiest — live the fastest)</w:t>
      </w:r>
    </w:p>
    <w:p>
      <w:pPr>
        <w:spacing w:before="30" w:after="30"/>
      </w:pPr>
      <w:r>
        <w:rPr>
          <w:rFonts w:ascii="Arial" w:hAnsi="Arial"/>
          <w:sz w:val="20"/>
          <w:szCs w:val="20"/>
          <w:color w:val="000000"/>
        </w:rPr>
        <w:t xml:space="preserve">Export a Sales Invoice listing from SQL Account to a fixed folder on the always-on PC (one row per invoice line is fine). Include these columns: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b/>
          <w:sz w:val="20"/>
          <w:szCs w:val="20"/>
          <w:color w:val="000000"/>
        </w:rPr>
        <w:t xml:space="preserve">Document No </w:t>
      </w:r>
      <w:r>
        <w:rPr>
          <w:rFonts w:ascii="Arial" w:hAnsi="Arial"/>
          <w:sz w:val="20"/>
          <w:szCs w:val="20"/>
          <w:color w:val="000000"/>
        </w:rPr>
        <w:t xml:space="preserve">(invoice number) — required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b/>
          <w:sz w:val="20"/>
          <w:szCs w:val="20"/>
          <w:color w:val="000000"/>
        </w:rPr>
        <w:t xml:space="preserve">Customer name </w:t>
      </w:r>
      <w:r>
        <w:rPr>
          <w:rFonts w:ascii="Arial" w:hAnsi="Arial"/>
          <w:sz w:val="20"/>
          <w:szCs w:val="20"/>
          <w:color w:val="000000"/>
        </w:rPr>
        <w:t xml:space="preserve">— required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b/>
          <w:sz w:val="20"/>
          <w:szCs w:val="20"/>
          <w:color w:val="000000"/>
        </w:rPr>
        <w:t xml:space="preserve">Invoice date</w:t>
      </w:r>
      <w:r>
        <w:rPr>
          <w:rFonts w:ascii="Arial" w:hAnsi="Arial"/>
          <w:sz w:val="20"/>
          <w:szCs w:val="20"/>
          <w:color w:val="000000"/>
        </w:rPr>
        <w:t xml:space="preserve"/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b/>
          <w:sz w:val="20"/>
          <w:szCs w:val="20"/>
          <w:color w:val="000000"/>
        </w:rPr>
        <w:t xml:space="preserve">Item lines: </w:t>
      </w:r>
      <w:r>
        <w:rPr>
          <w:rFonts w:ascii="Arial" w:hAnsi="Arial"/>
          <w:sz w:val="20"/>
          <w:szCs w:val="20"/>
          <w:color w:val="000000"/>
        </w:rPr>
        <w:t xml:space="preserve">Stock code (STK) · Description · Quantity · UOM (unit)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b/>
          <w:sz w:val="20"/>
          <w:szCs w:val="20"/>
          <w:color w:val="000000"/>
        </w:rPr>
        <w:t xml:space="preserve">Optional: </w:t>
      </w:r>
      <w:r>
        <w:rPr>
          <w:rFonts w:ascii="Arial" w:hAnsi="Arial"/>
          <w:sz w:val="20"/>
          <w:szCs w:val="20"/>
          <w:color w:val="000000"/>
        </w:rPr>
        <w:t xml:space="preserve">PO reference · payment terms · delivery address</w:t>
      </w:r>
    </w:p>
    <w:p>
      <w:pPr>
        <w:ind w:left="300"/>
        <w:spacing w:before="10" w:after="40"/>
      </w:pPr>
      <w:r>
        <w:rPr>
          <w:rFonts w:ascii="Arial" w:hAnsi="Arial"/>
          <w:i/>
          <w:sz w:val="18"/>
          <w:szCs w:val="18"/>
          <w:color w:val="2E74B5"/>
        </w:rPr>
        <w:t xml:space="preserve">Column names differ? No problem — send ONE sample export and we map them. Best if the export can run on a schedule; otherwise someone exports it now and then.</w:t>
      </w:r>
    </w:p>
    <w:p>
      <w:pPr>
        <w:spacing w:before="70" w:after="20"/>
      </w:pPr>
      <w:r>
        <w:rPr>
          <w:rFonts w:ascii="Arial" w:hAnsi="Arial"/>
          <w:b/>
          <w:sz w:val="21"/>
          <w:szCs w:val="21"/>
          <w:color w:val="000000"/>
        </w:rPr>
        <w:t xml:space="preserve">Option B — Firebird database</w:t>
      </w:r>
      <w:r>
        <w:rPr>
          <w:rFonts w:ascii="Arial" w:hAnsi="Arial"/>
          <w:i/>
          <w:sz w:val="19"/>
          <w:szCs w:val="19"/>
          <w:color w:val="555555"/>
        </w:rPr>
        <w:t xml:space="preserve">   (direct — fully hands-free)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sz w:val="20"/>
          <w:szCs w:val="20"/>
          <w:color w:val="000000"/>
        </w:rPr>
        <w:t xml:space="preserve">The SQL Account .FDB file path, OR the DB server host + port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sz w:val="20"/>
          <w:szCs w:val="20"/>
          <w:color w:val="000000"/>
        </w:rPr>
        <w:t xml:space="preserve">A READ-ONLY username + password (we never write to your data)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sz w:val="20"/>
          <w:szCs w:val="20"/>
          <w:color w:val="000000"/>
        </w:rPr>
        <w:t xml:space="preserve">The Sales Invoice table or view name(s)</w:t>
      </w:r>
    </w:p>
    <w:p>
      <w:pPr>
        <w:spacing w:before="70" w:after="20"/>
      </w:pPr>
      <w:r>
        <w:rPr>
          <w:rFonts w:ascii="Arial" w:hAnsi="Arial"/>
          <w:b/>
          <w:sz w:val="21"/>
          <w:szCs w:val="21"/>
          <w:color w:val="000000"/>
        </w:rPr>
        <w:t xml:space="preserve">Option C — SQL Account SDK</w:t>
      </w:r>
      <w:r>
        <w:rPr>
          <w:rFonts w:ascii="Arial" w:hAnsi="Arial"/>
          <w:i/>
          <w:sz w:val="19"/>
          <w:szCs w:val="19"/>
          <w:color w:val="555555"/>
        </w:rPr>
        <w:t xml:space="preserve">   (direct — fully hands-free)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sz w:val="20"/>
          <w:szCs w:val="20"/>
          <w:color w:val="000000"/>
        </w:rPr>
        <w:t xml:space="preserve">Confirm the SQL Account SDK is licensed on that PC, plus a login we can use</w:t>
      </w:r>
    </w:p>
    <w:p>
      <w:pPr>
        <w:pBdr>
          <w:bottom w:val="single" w:sz="6" w:space="2" w:color="C2410C"/>
        </w:pBdr>
        <w:spacing w:before="150" w:after="50"/>
      </w:pPr>
      <w:r>
        <w:rPr>
          <w:rFonts w:ascii="Arial" w:hAnsi="Arial"/>
          <w:b/>
          <w:sz w:val="24"/>
          <w:szCs w:val="24"/>
          <w:color w:val="C2410C"/>
        </w:rPr>
        <w:t xml:space="preserve">Also tell us</w:t>
      </w:r>
    </w:p>
    <w:p>
      <w:pPr>
        <w:ind w:left="320"/>
        <w:spacing w:before="12" w:after="12"/>
      </w:pPr>
      <w:r>
        <w:rPr>
          <w:rFonts w:ascii="Arial" w:hAnsi="Arial"/>
          <w:sz w:val="20"/>
          <w:szCs w:val="20"/>
          <w:color w:val="000000"/>
        </w:rPr>
        <w:t xml:space="preserve">•  </w:t>
      </w:r>
      <w:r>
        <w:rPr>
          <w:rFonts w:ascii="Arial" w:hAnsi="Arial"/>
          <w:b/>
          <w:sz w:val="20"/>
          <w:szCs w:val="20"/>
          <w:color w:val="000000"/>
        </w:rPr>
        <w:t xml:space="preserve">The always-on PC: </w:t>
      </w:r>
      <w:r>
        <w:rPr>
          <w:rFonts w:ascii="Arial" w:hAnsi="Arial"/>
          <w:sz w:val="20"/>
          <w:szCs w:val="20"/>
          <w:color w:val="000000"/>
        </w:rPr>
        <w:t xml:space="preserve">which computer stays switched on — it must see the invoices (or database) and reach the internet.</w:t>
      </w:r>
    </w:p>
    <w:p>
      <w:pPr>
        <w:pBdr>
          <w:bottom w:val="single" w:sz="6" w:space="2" w:color="C2410C"/>
        </w:pBdr>
        <w:spacing w:before="150" w:after="50"/>
      </w:pPr>
      <w:r>
        <w:rPr>
          <w:rFonts w:ascii="Arial" w:hAnsi="Arial"/>
          <w:b/>
          <w:sz w:val="24"/>
          <w:szCs w:val="24"/>
          <w:color w:val="C2410C"/>
        </w:rPr>
        <w:t xml:space="preserve">What happens next</w:t>
      </w:r>
    </w:p>
    <w:p>
      <w:pPr>
        <w:spacing w:before="30" w:after="30"/>
      </w:pPr>
      <w:r>
        <w:rPr>
          <w:rFonts w:ascii="Arial" w:hAnsi="Arial"/>
          <w:sz w:val="20"/>
          <w:szCs w:val="20"/>
          <w:color w:val="000000"/>
        </w:rPr>
        <w:t xml:space="preserve">We connect it and run a safe ‘dry-run’ (reads only, sends nothing), confirm the mapping with you, then switch it on. From then, each new invoice becomes a job on the production board within minutes — automatically, no double entry. Until it’s wired, staff key invoices in by hand (same result), so nothing is blocked.</w:t>
      </w:r>
    </w:p>
    <w:p>
      <w:pPr>
        <w:spacing w:before="160" w:after="0"/>
      </w:pPr>
      <w:r>
        <w:rPr>
          <w:rFonts w:ascii="Arial" w:hAnsi="Arial"/>
          <w:i/>
          <w:sz w:val="16"/>
          <w:szCs w:val="16"/>
          <w:color w:val="808080"/>
        </w:rPr>
        <w:t xml:space="preserve">Wawasan LTS Trading Sdn Bhd  ·  Order Management System integration</w:t>
      </w:r>
    </w:p>
    <w:sectPr>
      <w:pgSz w:w="12240" w:h="15840"/>
      <w:pgMar w:top="1080" w:right="1080" w:bottom="900" w:left="1080"/>
    </w:sectPr>
  </w:body>
</w:document>
</file>