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" w:hAnsi="Aptos"/>
          <w:b/>
          <w:color w:val="4F46E5"/>
          <w:sz w:val="22"/>
        </w:rPr>
        <w:t>GUIA DE VISUALIZAÇÕES</w:t>
      </w:r>
    </w:p>
    <w:p>
      <w:pPr>
        <w:spacing w:after="160"/>
        <w:jc w:val="center"/>
      </w:pPr>
      <w:r>
        <w:rPr>
          <w:rFonts w:ascii="Aptos" w:hAnsi="Aptos"/>
          <w:b/>
          <w:color w:val="1A2B47"/>
          <w:sz w:val="54"/>
        </w:rPr>
        <w:t>Dashboard Arariboia - V1</w:t>
      </w:r>
    </w:p>
    <w:p>
      <w:pPr>
        <w:spacing w:after="560"/>
        <w:jc w:val="center"/>
      </w:pPr>
      <w:r>
        <w:rPr>
          <w:rFonts w:ascii="Aptos" w:hAnsi="Aptos"/>
          <w:b w:val="0"/>
          <w:color w:val="475569"/>
          <w:sz w:val="22"/>
        </w:rPr>
        <w:t>Referência rápida organizada por área do painel | Agosto de 2026</w:t>
      </w:r>
    </w:p>
    <w:p>
      <w:pPr>
        <w:spacing w:after="100" w:line="264" w:lineRule="auto"/>
      </w:pPr>
      <w:r>
        <w:rPr>
          <w:rFonts w:ascii="Aptos" w:hAnsi="Aptos"/>
          <w:b w:val="0"/>
          <w:color w:val="1E293B"/>
          <w:sz w:val="21"/>
        </w:rPr>
        <w:t>Este guia descreve as visualizações atualmente disponíveis no dashboard e como interpretá-las. A ordem acompanha a própria navegação da página: alcance da moeda, circulação econômica, leitura territorial e perfil dos usuários.</w:t>
      </w:r>
    </w:p>
    <w:p>
      <w:r>
        <w:br w:type="page"/>
      </w:r>
    </w:p>
    <w:p>
      <w:pPr>
        <w:pStyle w:val="Heading1"/>
      </w:pPr>
      <w:r>
        <w:t>1. Alcance da moeda</w:t>
      </w:r>
    </w:p>
    <w:p>
      <w:pPr>
        <w:spacing w:after="100" w:line="264" w:lineRule="auto"/>
      </w:pPr>
      <w:r>
        <w:rPr>
          <w:rFonts w:ascii="Aptos" w:hAnsi="Aptos"/>
          <w:b w:val="0"/>
          <w:color w:val="1E293B"/>
          <w:sz w:val="21"/>
        </w:rPr>
        <w:t>Área destinada a acompanhar a evolução da rede Arariboia: pessoas com contas ativas e estabelecimentos credenciados.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0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Visualização</w:t>
            </w:r>
          </w:p>
        </w:tc>
        <w:tc>
          <w:tcPr>
            <w:tcW w:type="dxa" w:w="150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Tipo</w:t>
            </w:r>
          </w:p>
        </w:tc>
        <w:tc>
          <w:tcPr>
            <w:tcW w:type="dxa" w:w="390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Leitura</w:t>
            </w:r>
          </w:p>
        </w:tc>
        <w:tc>
          <w:tcPr>
            <w:tcW w:type="dxa" w:w="196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Fonte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Beneficiários e comércios credenciados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Linhas mensais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Compara contas ativas com o somatório acumulado de comércios credenciados. O último mês disponível é ocultado por poder estar incompleto.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indicadores-mensais_empresa_131.json</w:t>
            </w:r>
          </w:p>
        </w:tc>
      </w:tr>
    </w:tbl>
    <w:p/>
    <w:p>
      <w:pPr>
        <w:spacing w:after="100" w:line="264" w:lineRule="auto"/>
      </w:pPr>
      <w:r>
        <w:rPr>
          <w:rFonts w:ascii="Aptos" w:hAnsi="Aptos"/>
          <w:b w:val="0"/>
          <w:color w:val="1E293B"/>
          <w:sz w:val="21"/>
        </w:rPr>
        <w:t>A linha de beneficiários representa qtd_contas_ativas. A linha de comércios é cumulativa no dashboard; portanto, deve ser interpretada como evolução acumulada e não como estoque mensal pontual.</w:t>
      </w:r>
    </w:p>
    <w:p>
      <w:pPr>
        <w:pStyle w:val="Heading1"/>
      </w:pPr>
      <w:r>
        <w:t>2. Circulação econômica</w:t>
      </w:r>
    </w:p>
    <w:p>
      <w:pPr>
        <w:spacing w:after="100" w:line="264" w:lineRule="auto"/>
      </w:pPr>
      <w:r>
        <w:rPr>
          <w:rFonts w:ascii="Aptos" w:hAnsi="Aptos"/>
          <w:b w:val="0"/>
          <w:color w:val="1E293B"/>
          <w:sz w:val="21"/>
        </w:rPr>
        <w:t>Área que reúne destino das transações, circulação local, composição setorial e fluxos monetários mensais.</w:t>
      </w:r>
    </w:p>
    <w:p>
      <w:pPr>
        <w:pStyle w:val="Heading2"/>
      </w:pPr>
      <w:r>
        <w:t>2.1 Bairros que mais recebem transações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Tabela dos dez bairros com maior valor recebido no ano escolhido.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Exibe posição, bairro, volume financeiro em reais e quantidade de transações.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Filtro: Ano do ranking. O mesmo filtro também alimenta a pizza de setores.</w:t>
      </w:r>
    </w:p>
    <w:p>
      <w:pPr>
        <w:pStyle w:val="Heading2"/>
      </w:pPr>
      <w:r>
        <w:t>2.2 LM3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Card com o multiplicador local: (Onda 1 + Onda 2 + Onda 3) / Onda 1.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Onda 1: benefícios recebidos. Onda 2: gasto PF -&gt; PJ local. Onda 3: transferências PJ -&gt; PJ locais.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Filtro independente: Ano do LM3. O ícone ‘i’ explica o indicador no próprio card.</w:t>
      </w:r>
    </w:p>
    <w:p>
      <w:pPr>
        <w:pStyle w:val="Heading2"/>
      </w:pPr>
      <w:r>
        <w:t>2.3 Setores que mais recebem de pessoas físicas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Pizza com os cinco setores categorizados de maior valor em transações PF -&gt; PJ.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A categoria ‘Não categorizado’ não aparece como fatia para preservar a leitura dos setores identificados.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O card informa separadamente o percentual de quantidade de transações PF -&gt; PJ sem setor categorizado.</w:t>
      </w:r>
    </w:p>
    <w:p>
      <w:pPr>
        <w:pStyle w:val="Heading2"/>
      </w:pPr>
      <w:r>
        <w:t>2.4 Evolução de pagamentos de benefícios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Barras mensais do valor total de pagamentos de benefícios, em reais.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Fonte exclusiva: beneficios_empresa_131.json. Não usa o campo de benefícios dos indicadores mensais.</w:t>
      </w:r>
    </w:p>
    <w:p>
      <w:pPr>
        <w:pStyle w:val="Heading2"/>
      </w:pPr>
      <w:r>
        <w:t>2.5 Saques, taxas e pagamentos de benefícios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Barras agrupadas por mês, permitindo comparar três valores no mesmo período.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Ordem visual das barras: Taxas arrecadadas, Saques e Pagamentos de benefícios.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Taxas e saques vêm de indicadores-mensais_empresa_131.json; pagamentos vêm de beneficios_empresa_131.json.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E293B"/>
          <w:sz w:val="20"/>
        </w:rPr>
        <w:t>Filtro independente: Ano da comparação financeira, com opção de exibir todos os anos em comum entre as fontes.</w:t>
      </w:r>
    </w:p>
    <w:p>
      <w:r>
        <w:br w:type="page"/>
      </w:r>
    </w:p>
    <w:p>
      <w:pPr>
        <w:pStyle w:val="Heading1"/>
      </w:pPr>
      <w:r>
        <w:t>3. Leitura territorial</w:t>
      </w:r>
    </w:p>
    <w:p>
      <w:pPr>
        <w:spacing w:after="100" w:line="264" w:lineRule="auto"/>
      </w:pPr>
      <w:r>
        <w:rPr>
          <w:rFonts w:ascii="Aptos" w:hAnsi="Aptos"/>
          <w:b w:val="0"/>
          <w:color w:val="1E293B"/>
          <w:sz w:val="21"/>
        </w:rPr>
        <w:t>Área dedicada à distribuição espacial de comércios e à comparação de transações entre bairros e o Índice Brasileiro de Privação Social (IBP).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5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Visualização</w:t>
            </w:r>
          </w:p>
        </w:tc>
        <w:tc>
          <w:tcPr>
            <w:tcW w:type="dxa" w:w="150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Tipo</w:t>
            </w:r>
          </w:p>
        </w:tc>
        <w:tc>
          <w:tcPr>
            <w:tcW w:type="dxa" w:w="365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Leitura</w:t>
            </w:r>
          </w:p>
        </w:tc>
        <w:tc>
          <w:tcPr>
            <w:tcW w:type="dxa" w:w="216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Filtro / fonte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Distribuição de comércios por bairro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Mapa com bolhas</w:t>
            </w:r>
          </w:p>
        </w:tc>
        <w:tc>
          <w:tcPr>
            <w:tcW w:type="dxa" w:w="36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O tamanho da bolha representa a soma de qtd_comercios dos registros do bairro. Mostra densidade histórica agregada.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Sem filtro; comercios_empresa_131.json e coordenadas locais.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Ranking IBP e transações catalogadas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Tabela territorial</w:t>
            </w:r>
          </w:p>
        </w:tc>
        <w:tc>
          <w:tcPr>
            <w:tcW w:type="dxa" w:w="36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Lista 52 bairros pela ordem decrescente do IBP e exibe quantidades de transações com origem e destino no bairro.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Ano próprio do IBP; Bairros_Niterói_IBP.CSV e transações.</w:t>
            </w:r>
          </w:p>
        </w:tc>
      </w:tr>
    </w:tbl>
    <w:p/>
    <w:p>
      <w:pPr>
        <w:spacing w:after="100" w:line="264" w:lineRule="auto"/>
      </w:pPr>
      <w:r>
        <w:rPr>
          <w:rFonts w:ascii="Aptos" w:hAnsi="Aptos"/>
          <w:b w:val="0"/>
          <w:color w:val="1E293B"/>
          <w:sz w:val="21"/>
        </w:rPr>
        <w:t>O IBP é explicado pelo ícone ‘i’ do card. A tabela não exibe o valor numérico do índice: mostra a posição no ranking e as transações associadas a cada bairro. Nomes de bairro passam por normalização e aliases para reduzir falhas de cruzamento.</w:t>
      </w:r>
    </w:p>
    <w:p>
      <w:pPr>
        <w:pStyle w:val="Heading1"/>
      </w:pPr>
      <w:r>
        <w:t>4. Perfil dos usuários</w:t>
      </w:r>
    </w:p>
    <w:p>
      <w:pPr>
        <w:spacing w:after="100" w:line="264" w:lineRule="auto"/>
      </w:pPr>
      <w:r>
        <w:rPr>
          <w:rFonts w:ascii="Aptos" w:hAnsi="Aptos"/>
          <w:b w:val="0"/>
          <w:color w:val="1E293B"/>
          <w:sz w:val="21"/>
        </w:rPr>
        <w:t>Área de composição agregada dos usuários registrados no recorte de Niterói. Os gráficos usam qtd_usuarios, não cadastros individualizados.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5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Visualização</w:t>
            </w:r>
          </w:p>
        </w:tc>
        <w:tc>
          <w:tcPr>
            <w:tcW w:type="dxa" w:w="150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Tipo</w:t>
            </w:r>
          </w:p>
        </w:tc>
        <w:tc>
          <w:tcPr>
            <w:tcW w:type="dxa" w:w="581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Leitura e tratamento de dados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Faixa etária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Barras</w:t>
            </w:r>
          </w:p>
        </w:tc>
        <w:tc>
          <w:tcPr>
            <w:tcW w:type="dxa" w:w="5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Distribui usuários pelas faixas &lt;18, 18-24, 25-34, 35-44, 45-59 e 60+. Categorias não informadas ficam fora das barras.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Faixa de renda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Barras</w:t>
            </w:r>
          </w:p>
        </w:tc>
        <w:tc>
          <w:tcPr>
            <w:tcW w:type="dxa" w:w="5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Distribui usuários por faixas de renda. ‘sem_transacao’ e não informado não entram nas barras.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Gênero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Pizza</w:t>
            </w:r>
          </w:p>
        </w:tc>
        <w:tc>
          <w:tcPr>
            <w:tcW w:type="dxa" w:w="5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Exibe feminino e masculino. ‘POR ATUALIZAR’ é tratado como não informado e o percentual sem identificação aparece abaixo da pizza.</w:t>
            </w:r>
          </w:p>
        </w:tc>
      </w:tr>
    </w:tbl>
    <w:p/>
    <w:p>
      <w:pPr>
        <w:pStyle w:val="Heading1"/>
      </w:pPr>
      <w:r>
        <w:t>5. Resumo de filtros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5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Filtro</w:t>
            </w:r>
          </w:p>
        </w:tc>
        <w:tc>
          <w:tcPr>
            <w:tcW w:type="dxa" w:w="300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Onde aparece</w:t>
            </w:r>
          </w:p>
        </w:tc>
        <w:tc>
          <w:tcPr>
            <w:tcW w:type="dxa" w:w="3910"/>
            <w:shd w:fill="EEF2FF"/>
          </w:tcPr>
          <w:p>
            <w:r>
              <w:rPr>
                <w:rFonts w:ascii="Aptos" w:hAnsi="Aptos"/>
                <w:b/>
                <w:color w:val="1A2B47"/>
                <w:sz w:val="18"/>
              </w:rPr>
              <w:t>Afeta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Ano do ranking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Tabela de bairros que recebem</w:t>
            </w:r>
          </w:p>
        </w:tc>
        <w:tc>
          <w:tcPr>
            <w:tcW w:type="dxa" w:w="3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Ranking de recebimentos e setores PF -&gt; PJ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Ano do LM3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Card LM3</w:t>
            </w:r>
          </w:p>
        </w:tc>
        <w:tc>
          <w:tcPr>
            <w:tcW w:type="dxa" w:w="3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Valor do LM3 e as três ondas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Ano do IBP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Tabela IBP</w:t>
            </w:r>
          </w:p>
        </w:tc>
        <w:tc>
          <w:tcPr>
            <w:tcW w:type="dxa" w:w="3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Contagens de origem e destino da tabela IBP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Ano da comparação financeira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Card de saques, taxas e benefícios</w:t>
            </w:r>
          </w:p>
        </w:tc>
        <w:tc>
          <w:tcPr>
            <w:tcW w:type="dxa" w:w="3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Barras mensais de taxas, saques e pagamentos</w:t>
            </w:r>
          </w:p>
        </w:tc>
      </w:tr>
    </w:tbl>
    <w:p/>
    <w:p>
      <w:pPr>
        <w:spacing w:after="100" w:line="264" w:lineRule="auto"/>
      </w:pPr>
      <w:r>
        <w:rPr>
          <w:rFonts w:ascii="Aptos" w:hAnsi="Aptos"/>
          <w:b w:val="0"/>
          <w:color w:val="1E293B"/>
          <w:sz w:val="21"/>
        </w:rPr>
        <w:t>Os filtros são independentes. Mudar o ano de uma visualização não altera as demais, exceto o compartilhamento intencional entre o ranking de recebimentos e a pizza de setores.</w:t>
      </w:r>
    </w:p>
    <w:p>
      <w:pPr>
        <w:pStyle w:val="Heading1"/>
      </w:pPr>
      <w:r>
        <w:t>6. Nota de interpretação</w:t>
      </w:r>
    </w:p>
    <w:p>
      <w:pPr>
        <w:spacing w:after="100" w:line="264" w:lineRule="auto"/>
      </w:pPr>
      <w:r>
        <w:rPr>
          <w:rFonts w:ascii="Aptos" w:hAnsi="Aptos"/>
          <w:b w:val="0"/>
          <w:color w:val="1E293B"/>
          <w:sz w:val="21"/>
        </w:rPr>
        <w:t>As visualizações são agregações dos arquivos locais preparados para a V1. Campos sem classificação territorial, setorial ou de identificação são preservados em métricas de qualidade quando aplicável, mas podem ser omitidos de gráficos específicos para evitar que uma categoria técnica domine a leitura visual.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2B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2B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Visualizações - Dashboard Arariboia V1</dc:title>
  <dc:subject/>
  <dc:creator>Projeto Dashboard Arariboia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