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/>
        <w:jc w:val="center"/>
      </w:pPr>
      <w:r>
        <w:rPr>
          <w:rFonts w:ascii="Aptos" w:hAnsi="Aptos"/>
          <w:b/>
          <w:color w:val="4F46E5"/>
          <w:sz w:val="22"/>
        </w:rPr>
        <w:t>RELATÓRIO TÉCNICO</w:t>
      </w:r>
    </w:p>
    <w:p>
      <w:pPr>
        <w:spacing w:after="160"/>
        <w:jc w:val="center"/>
      </w:pPr>
      <w:r>
        <w:rPr>
          <w:rFonts w:ascii="Aptos" w:hAnsi="Aptos"/>
          <w:b/>
          <w:color w:val="1A2B47"/>
          <w:sz w:val="58"/>
        </w:rPr>
        <w:t>Dashboard Arariboia</w:t>
      </w:r>
    </w:p>
    <w:p>
      <w:pPr>
        <w:spacing w:after="480"/>
        <w:jc w:val="center"/>
      </w:pPr>
      <w:r>
        <w:rPr>
          <w:rFonts w:ascii="Aptos" w:hAnsi="Aptos"/>
          <w:b w:val="0"/>
          <w:color w:val="475569"/>
          <w:sz w:val="30"/>
        </w:rPr>
        <w:t>Primeira versão funcional (V1)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Item</w:t>
            </w:r>
          </w:p>
        </w:tc>
        <w:tc>
          <w:tcPr>
            <w:tcW w:type="dxa" w:w="756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Registro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Escopo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Painel local de visualização da moeda social Arariboia em Niterói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Versão documentada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V1 - agosto de 2026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Arquitetura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Next.js App Router, rotas locais de API e arquivos de dados locais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Situação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Interface reorganizada em alcance, circulação, território e perfil; menu lateral removido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4F46E5"/>
                <w:sz w:val="20"/>
              </w:rPr>
              <w:t>Propósito do documento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334155"/>
                <w:sz w:val="19"/>
              </w:rPr>
              <w:t>Registrar o funcionamento efetivamente implementado, a proveniência e o tratamento dos dados, as visualizações, os filtros, as decisões de qualidade e as limitações conhecidas. Este relatório descreve a V1; não propõe nem implementa indicadores futuros.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Visão geral e escopo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 Dashboard Arariboia é uma aplicação web local para visualizar dados agregados da moeda social Arariboia em Niterói. A V1 concentra-se em quatro leituras: alcance da rede, circulação econômica, leitura territorial e perfil dos usuários. O painel é analítico e descritivo; não permite edição de dados, cadastro, autenticação, exportação ou consulta a serviços externos em tempo de execução.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A página principal apresenta o título ‘Dashboard Arariboia’ e a mensagem de boas-vindas acordada. A barra lateral inicialmente existente foi removida porque não possuía navegação funcional. Com isso, o conteúdo ocupa a largura disponível, limitado a 1.440 px para preservar legibilidade em monitores largos e com espaçamento reduzido em telas de até 768 px.</w:t>
      </w:r>
    </w:p>
    <w:p>
      <w:pPr>
        <w:pStyle w:val="Heading1"/>
      </w:pPr>
      <w:r>
        <w:t>2. Arquitetura da solução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A aplicação usa a arquitetura App Router do Next.js. A página e o layout são componentes de servidor por padrão; o componente DashboardClient é explicitamente cliente porque utiliza estado, efeitos e eventos de seleção. As APIs são Route Handlers sob src/app/api e leem arquivos locais em dados_edinheiro.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4F46E5"/>
                <w:sz w:val="20"/>
              </w:rPr>
              <w:t>Fluxo de dados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334155"/>
                <w:sz w:val="19"/>
              </w:rPr>
              <w:t>Arquivos locais -&gt; Route Handlers em /api -&gt; fetch no DashboardClient -&gt; estado React -&gt; componentes Recharts/Leaflet. Não há banco de dados, fila, cache compartilhado, autenticação ou escrita de dados na V1.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2900"/>
        <w:gridCol w:w="4660"/>
      </w:tblGrid>
      <w:tr>
        <w:trPr>
          <w:tblHeader w:val="true"/>
        </w:trPr>
        <w:tc>
          <w:tcPr>
            <w:tcW w:type="dxa" w:w="18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Camada</w:t>
            </w:r>
          </w:p>
        </w:tc>
        <w:tc>
          <w:tcPr>
            <w:tcW w:type="dxa" w:w="29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Responsabilidade</w:t>
            </w:r>
          </w:p>
        </w:tc>
        <w:tc>
          <w:tcPr>
            <w:tcW w:type="dxa" w:w="466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Implementação V1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Apresentação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Layout, filtros, carregamento e gráficos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src/app/page.tsx, layout.tsx, DashboardClient.tsx, globals.css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Visualização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Gráficos responsivos e mapa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Recharts; Leaflet e react-leaflet via importação dinâmica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Serviços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Agregações sob demanda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Route Handlers em src/app/api/*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Dados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Arquivos JSON/CSV previamente preparados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dados_edinheiro/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Preparação</w:t>
            </w:r>
          </w:p>
        </w:tc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Filtro territorial, normalização e coordenadas</w:t>
            </w:r>
          </w:p>
        </w:tc>
        <w:tc>
          <w:tcPr>
            <w:tcW w:type="dxa" w:w="4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etl/*.py e src/lib/niteroi-coords.ts</w:t>
            </w:r>
          </w:p>
        </w:tc>
      </w:tr>
    </w:tbl>
    <w:p>
      <w:pPr>
        <w:spacing w:after="40"/>
      </w:pPr>
    </w:p>
    <w:p>
      <w:pPr>
        <w:pStyle w:val="Heading1"/>
      </w:pPr>
      <w:r>
        <w:t>3. Ferramentas, frameworks e tecnologias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900"/>
        <w:gridCol w:w="2550"/>
        <w:gridCol w:w="4910"/>
      </w:tblGrid>
      <w:tr>
        <w:trPr>
          <w:tblHeader w:val="true"/>
        </w:trPr>
        <w:tc>
          <w:tcPr>
            <w:tcW w:type="dxa" w:w="19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Tecnologia</w:t>
            </w:r>
          </w:p>
        </w:tc>
        <w:tc>
          <w:tcPr>
            <w:tcW w:type="dxa" w:w="255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Versão/configuração</w:t>
            </w:r>
          </w:p>
        </w:tc>
        <w:tc>
          <w:tcPr>
            <w:tcW w:type="dxa" w:w="491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Uso na V1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Next.js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16.3.2; Turbopack no build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App Router, renderização, rotas de API e importação dinâmica do mapa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React / React DOM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19.2.8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Estado local, efeitos de busca, renderização dos componentes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TypeScript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5; strict: true; moduleResolution: bundler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Tipagem dos componentes e de parte das estruturas das APIs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Recharts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3.10.1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Linhas, barras e pizzas responsivas; legendas, eixos e tooltips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Leaflet / react-leaflet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1.9.4 / 5.0.0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Mapa de Niterói com bolhas proporcionais de comércio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CSS global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globals.css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Tema escuro, painéis glass, responsividade, tooltips e cabeçalhos de seção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Node.js fs/path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API do servidor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Leitura síncrona dos JSON/CSV locais em Route Handlers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Python/pandas/csv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ETL auxiliar</w:t>
            </w:r>
          </w:p>
        </w:tc>
        <w:tc>
          <w:tcPr>
            <w:tcW w:type="dxa" w:w="49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Filtragem territorial, normalização de bairros e geração de insumos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 next.config.ts não adiciona comportamento especial. O projeto inclui ESLint 9 e eslint-config-next. O package-lock.json fixa as dependências para instalação reprodutível por npm ci.</w:t>
      </w:r>
    </w:p>
    <w:p>
      <w:pPr>
        <w:pStyle w:val="Heading1"/>
      </w:pPr>
      <w:r>
        <w:t>4. Dados disponíveis e inventário de fontes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Os arquivos operacionais ficam fora do controle de versão e são lidos a partir de dados_edinheiro. O inventário abaixo reflete os arquivos utilizados diretamente pela V1 e o recorte verificado durante a documentação.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50"/>
        <w:gridCol w:w="1900"/>
        <w:gridCol w:w="3060"/>
        <w:gridCol w:w="2250"/>
      </w:tblGrid>
      <w:tr>
        <w:trPr>
          <w:tblHeader w:val="true"/>
        </w:trPr>
        <w:tc>
          <w:tcPr>
            <w:tcW w:type="dxa" w:w="215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Fonte</w:t>
            </w:r>
          </w:p>
        </w:tc>
        <w:tc>
          <w:tcPr>
            <w:tcW w:type="dxa" w:w="19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Registros / período</w:t>
            </w:r>
          </w:p>
        </w:tc>
        <w:tc>
          <w:tcPr>
            <w:tcW w:type="dxa" w:w="306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Campos principais usados</w:t>
            </w:r>
          </w:p>
        </w:tc>
        <w:tc>
          <w:tcPr>
            <w:tcW w:type="dxa" w:w="225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Uso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transacoes_bruto_niteroi_oficial.csv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273.927 linhas; 2018-02 a 2026-08</w:t>
            </w:r>
          </w:p>
        </w:tc>
        <w:tc>
          <w:tcPr>
            <w:tcW w:type="dxa" w:w="3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ano_mes, bairros, tipos PF/PJ, setor, porte, qtd_transacoes, valor_total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Rankings, setores, fluxos e LM3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beneficios_empresa_131.json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36.796 registros; 2022-01 a 2026-07</w:t>
            </w:r>
          </w:p>
        </w:tc>
        <w:tc>
          <w:tcPr>
            <w:tcW w:type="dxa" w:w="3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ano, mes, qtd_beneficiarios, qtd_pagamentos, valor_total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Onda 1 e série de pagamentos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indicadores-mensais_empresa_131.json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75 registros válidos; 2015-10 a 2026-08</w:t>
            </w:r>
          </w:p>
        </w:tc>
        <w:tc>
          <w:tcPr>
            <w:tcW w:type="dxa" w:w="3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contas ativas, comércios ativos e indicadores monetários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Série de alcance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comercios_empresa_131.json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2.574 registros</w:t>
            </w:r>
          </w:p>
        </w:tc>
        <w:tc>
          <w:tcPr>
            <w:tcW w:type="dxa" w:w="3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ano, mes, bairro, setor, porte, qtd_comercios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Mapa de comércios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usuarios_niteroi.json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11.824 registros</w:t>
            </w:r>
          </w:p>
        </w:tc>
        <w:tc>
          <w:tcPr>
            <w:tcW w:type="dxa" w:w="3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ano, mes, bairro, idade, gênero, renda, qtd_usuarios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Perfil por faixa e gênero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Bairros_Niterói_IBP.CSV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52 bairros</w:t>
            </w:r>
          </w:p>
        </w:tc>
        <w:tc>
          <w:tcPr>
            <w:tcW w:type="dxa" w:w="3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Bairros, Average - BrazDep_measure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Ordem territorial do IBP</w:t>
            </w:r>
          </w:p>
        </w:tc>
      </w:tr>
      <w:tr>
        <w:tc>
          <w:tcPr>
            <w:tcW w:type="dxa" w:w="21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codigos_bairros_niteroi_oficiais.json</w:t>
            </w:r>
          </w:p>
        </w:tc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52 bairros oficiais</w:t>
            </w:r>
          </w:p>
        </w:tc>
        <w:tc>
          <w:tcPr>
            <w:tcW w:type="dxa" w:w="3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código e nome canônico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Validação e tradução de códigos</w:t>
            </w:r>
          </w:p>
        </w:tc>
      </w:tr>
    </w:tbl>
    <w:p>
      <w:pPr>
        <w:spacing w:after="40"/>
      </w:pPr>
    </w:p>
    <w:p>
      <w:pPr>
        <w:pStyle w:val="Heading1"/>
      </w:pPr>
      <w:r>
        <w:t>4.1 Esquema da tabela de transações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 CSV de transações possui 12 campos: ano_mes; cod_bairro_origem; cod_bairro_destino; tipo_origem; tipo_destino; faixa_valor; setor_origem; setor_destino; porte_origem; porte_destino; qtd_transacoes; valor_total. Cada linha é agregada, portanto qtd_transacoes pode representar várias operações. A leitura da API converte quantidade e valor para número, usando zero quando a conversão falha.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No recorte oficial, há 247.900 linhas PF -&gt; PJ, 23.107 PJ -&gt; PJ, 2.808 PJ -&gt; PF e 112 PF -&gt; PF. Isso explica por que a Onda 2 usa exclusivamente PF -&gt; PJ e a Onda 3 usa exclusivamente PJ -&gt; PJ.</w:t>
      </w:r>
    </w:p>
    <w:p>
      <w:pPr>
        <w:pStyle w:val="Heading1"/>
      </w:pPr>
      <w:r>
        <w:t>5. Preparação, filtragem e normalização</w:t>
      </w:r>
    </w:p>
    <w:p>
      <w:pPr>
        <w:pStyle w:val="Heading2"/>
      </w:pPr>
      <w:r>
        <w:t>5.1 Recorte territorial oficial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 script etl/filtrar_transacoes.py parte do arquivo transacoes_bruto.csv, com 3.000.000 de linhas, e preserva 273.927 linhas (9,13%). A regra final não é apenas ‘uma ponta em Niterói’: origem e destino precisam estar entre os códigos oficiais de Niterói ou estar vazios. O script gera também o arquivo de códigos oficiais usado pela API.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1E293B"/>
          <w:sz w:val="20"/>
        </w:rPr>
        <w:t>A lista oficial contém 52 bairros e aliases para grafias divergentes.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1E293B"/>
          <w:sz w:val="20"/>
        </w:rPr>
        <w:t>A regra admite código vazio. Por isso, uma transação pode permanecer no arquivo mesmo sem origem ou destino territorial identificado.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1E293B"/>
          <w:sz w:val="20"/>
        </w:rPr>
        <w:t>No recorte final, 4.324 linhas não possuem bairro de origem e 1.854 não possuem bairro de destino.</w:t>
      </w:r>
    </w:p>
    <w:p>
      <w:pPr>
        <w:pStyle w:val="Heading2"/>
      </w:pPr>
      <w:r>
        <w:t>5.2 Normalização de nomes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A rota de transações normaliza acentos, caixa e caracteres não alfanuméricos antes de cruzar o IBP com os nomes oficiais. Há aliases explícitos para Bairro de Fátima/Fátima, Cachoeiras/Cachoeira, Vital Brazil/Vital Brasil e Matacapa/Matapaca. O ETL possui aliases adicionais, como Jacará/Jacaré e Centro Niterói/Centro. Essa decisão impede que diferenças de grafia criem linhas territoriais vazias no ranking.</w:t>
      </w:r>
    </w:p>
    <w:p>
      <w:pPr>
        <w:pStyle w:val="Heading2"/>
      </w:pPr>
      <w:r>
        <w:t>5.3 Coordenadas do mapa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As coordenadas de 52 bairros foram materializadas em src/lib/niteroi-coords.ts a partir de relações do OpenStreetMap/Nominatim. O mapa filtra bairros sem coordenada; assim, a ausência de coordenada impede apenas a exibição da bolha, não altera as demais agregações.</w:t>
      </w:r>
    </w:p>
    <w:p>
      <w:pPr>
        <w:pStyle w:val="Heading1"/>
      </w:pPr>
      <w:r>
        <w:t>6. Rotas de dados, cache e parâmetros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4600"/>
        <w:gridCol w:w="2960"/>
      </w:tblGrid>
      <w:tr>
        <w:trPr>
          <w:tblHeader w:val="true"/>
        </w:trPr>
        <w:tc>
          <w:tcPr>
            <w:tcW w:type="dxa" w:w="18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Rota</w:t>
            </w:r>
          </w:p>
        </w:tc>
        <w:tc>
          <w:tcPr>
            <w:tcW w:type="dxa" w:w="46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Leitura/agregação</w:t>
            </w:r>
          </w:p>
        </w:tc>
        <w:tc>
          <w:tcPr>
            <w:tcW w:type="dxa" w:w="296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Cache e parâmetros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/api/indicadores</w:t>
            </w:r>
          </w:p>
        </w:tc>
        <w:tc>
          <w:tcPr>
            <w:tcW w:type="dxa" w:w="4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Filtra indicadores completos; remove último período; acumula comércios ao longo da série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Cache em memória; sem parâmetro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/api/comercios</w:t>
            </w:r>
          </w:p>
        </w:tc>
        <w:tc>
          <w:tcPr>
            <w:tcW w:type="dxa" w:w="4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Soma qtd_comercios por bairro e junta coordenadas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Sem cache explícito; sem parâmetro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/api/beneficios</w:t>
            </w:r>
          </w:p>
        </w:tc>
        <w:tc>
          <w:tcPr>
            <w:tcW w:type="dxa" w:w="4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Agrupa valor_total e qtd_pagamentos por ano/mês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Cache em memória; sem parâmetro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/api/perfil-usuarios</w:t>
            </w:r>
          </w:p>
        </w:tc>
        <w:tc>
          <w:tcPr>
            <w:tcW w:type="dxa" w:w="4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Agrupa qtd_usuarios por idade, renda e gênero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Sem cache explícito; sem parâmetro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/api/transacoes</w:t>
            </w:r>
          </w:p>
        </w:tc>
        <w:tc>
          <w:tcPr>
            <w:tcW w:type="dxa" w:w="4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Carrega CSV uma vez, agrega rankings, fluxos, setores e LM3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Base em memória; dynamic = force-dynamic; ano, rankingAno e ibpAno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/api/usuarios</w:t>
            </w:r>
          </w:p>
        </w:tc>
        <w:tc>
          <w:tcPr>
            <w:tcW w:type="dxa" w:w="4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Total e série de usuários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Permanece disponível, mas não é usado na interface após remoção do card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A rota /api/transacoes também interpreta os parâmetros inicio e fim, mas eles não entram em nenhum filtro de cálculo na V1. Eles são, portanto, parâmetros inativos e não devem ser assumidos como filtros de período funcionalmente aplicados.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750"/>
        <w:gridCol w:w="3780"/>
        <w:gridCol w:w="2030"/>
      </w:tblGrid>
      <w:tr>
        <w:trPr>
          <w:tblHeader w:val="true"/>
        </w:trPr>
        <w:tc>
          <w:tcPr>
            <w:tcW w:type="dxa" w:w="18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Controle</w:t>
            </w:r>
          </w:p>
        </w:tc>
        <w:tc>
          <w:tcPr>
            <w:tcW w:type="dxa" w:w="175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Parâmetro</w:t>
            </w:r>
          </w:p>
        </w:tc>
        <w:tc>
          <w:tcPr>
            <w:tcW w:type="dxa" w:w="378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Visualizações afetadas</w:t>
            </w:r>
          </w:p>
        </w:tc>
        <w:tc>
          <w:tcPr>
            <w:tcW w:type="dxa" w:w="203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Padrão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 do ranking</w:t>
            </w:r>
          </w:p>
        </w:tc>
        <w:tc>
          <w:tcPr>
            <w:tcW w:type="dxa" w:w="1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rankingAno</w:t>
            </w:r>
          </w:p>
        </w:tc>
        <w:tc>
          <w:tcPr>
            <w:tcW w:type="dxa" w:w="3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Bairros que mais recebem; setores PF -&gt; PJ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Último ano presente em benefícios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 do LM3</w:t>
            </w:r>
          </w:p>
        </w:tc>
        <w:tc>
          <w:tcPr>
            <w:tcW w:type="dxa" w:w="1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</w:t>
            </w:r>
          </w:p>
        </w:tc>
        <w:tc>
          <w:tcPr>
            <w:tcW w:type="dxa" w:w="3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LM3 e ondas 1, 2 e 3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Último ano presente em benefícios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Ano do IBP</w:t>
            </w:r>
          </w:p>
        </w:tc>
        <w:tc>
          <w:tcPr>
            <w:tcW w:type="dxa" w:w="1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ibpAno</w:t>
            </w:r>
          </w:p>
        </w:tc>
        <w:tc>
          <w:tcPr>
            <w:tcW w:type="dxa" w:w="3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Origem e destino da tabela IBP</w:t>
            </w:r>
          </w:p>
        </w:tc>
        <w:tc>
          <w:tcPr>
            <w:tcW w:type="dxa" w:w="2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Último ano presente em benefícios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4F46E5"/>
                <w:sz w:val="20"/>
              </w:rPr>
              <w:t>Decisão de filtro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334155"/>
                <w:sz w:val="19"/>
              </w:rPr>
              <w:t>O seletor do IBP é independente do ranking por solicitação funcional. A mudança evita que a tabela territorial seja alterada pelo ano selecionado em outro card. Não existe filtro global de ano na V1.</w:t>
            </w:r>
          </w:p>
        </w:tc>
      </w:tr>
    </w:tbl>
    <w:p>
      <w:pPr>
        <w:spacing w:after="20"/>
      </w:pPr>
    </w:p>
    <w:p>
      <w:pPr>
        <w:pStyle w:val="Heading1"/>
      </w:pPr>
      <w:r>
        <w:t>7. Visualizações e indicadores da V1</w:t>
      </w:r>
    </w:p>
    <w:p>
      <w:pPr>
        <w:pStyle w:val="Heading2"/>
      </w:pPr>
      <w:r>
        <w:t>7.1 Alcance da moeda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 gráfico de linhas ‘Beneficiários e comércios credenciados’ compara contas ativas e comércios credenciados. A série exclui o último período disponível, pois o código o trata como mês em andamento. A linha de comércios é acumulada na API; portanto, ela deve ser lida como somatório progressivo produzido pela aplicação, não como o valor pontual mensal bruto.</w:t>
      </w:r>
    </w:p>
    <w:p>
      <w:pPr>
        <w:pStyle w:val="Heading2"/>
      </w:pPr>
      <w:r>
        <w:t>7.2 Circulação econômica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Bairros que mais recebem transações: tabela dos dez bairros de destino com maior valor total no ano do ranking. Mostra valor em reais e quantidade de transações. Entram apenas destinos com código oficial reconhecido na agregação.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LM3: indicador de circulação local calculado como (Onda 1 + Onda 2 + Onda 3) / Onda 1. A Onda 1 soma benefícios pagos no ano; a Onda 2 soma valor de transações PF -&gt; PJ com destino oficial; a Onda 3 soma valor de transações PJ -&gt; PJ quando ambas as pontas são oficiais. O card possui seletor anual e tooltip explicativo.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Setores que mais recebem de pessoas físicas: pizza dos cinco setores categorizados de maior valor em transações PF -&gt; PJ no ano do ranking. A categoria ‘Não categorizado’ é retirada da pizza, mas sua participação é exibida abaixo do gráfico. A porcentagem é calculada pela quantidade de transações, não pelo valor financeiro. No conjunto completo PF -&gt; PJ, 50,29% da quantidade agregada está sem setor categorizado; o percentual no card muda com o ano selecionado.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Evolução de pagamentos de benefícios: barras mensais do valor_total de benefícios. A rota também calcula qtd_pagamentos, mas a V1 apresenta somente o volume em reais.</w:t>
      </w:r>
    </w:p>
    <w:p>
      <w:pPr>
        <w:pStyle w:val="Heading2"/>
      </w:pPr>
      <w:r>
        <w:t>7.3 Leitura territorial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Distribuição de comércios por bairro: mapa Leaflet com bolhas proporcionais à soma de qtd_comercios por bairro em todos os registros disponíveis. O card mostra densidade histórica agregada, e não necessariamente o estoque de comércios ativos no último mês.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Ranking IBP e transações catalogadas: tabela dos 52 bairros ordenados pelo IBP em ordem decrescente. O índice numérico não é exibido; a tabela compara a posição na ordem com quantidades de transações de origem e destino no ano escolhido especificamente para o card. O tooltip define IBP como Índice Brasileiro de Privação Social, baseado na medida BrazDep.</w:t>
      </w:r>
    </w:p>
    <w:p>
      <w:pPr>
        <w:pStyle w:val="Heading2"/>
      </w:pPr>
      <w:r>
        <w:t>7.4 Perfil dos usuários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 card contém barras por faixa etária e faixa de renda, uma pizza de gênero e o percentual sem identificação de gênero. A agregação soma qtd_usuarios dos registros existentes. As categorias não informadas de idade e ‘sem_transacao’ de renda são retiradas dos respectivos gráficos; a categoria ‘POR ATUALIZAR’ de gênero é convertida em ‘Não informado’ e entra no percentual de qualidade exibido sob a pizza.</w:t>
      </w:r>
    </w:p>
    <w:p>
      <w:pPr>
        <w:pStyle w:val="Heading1"/>
      </w:pPr>
      <w:r>
        <w:t>8. Qualidade dos dados, campos de identificação e limitações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630"/>
        <w:gridCol w:w="3930"/>
      </w:tblGrid>
      <w:tr>
        <w:trPr>
          <w:tblHeader w:val="true"/>
        </w:trPr>
        <w:tc>
          <w:tcPr>
            <w:tcW w:type="dxa" w:w="180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Tema</w:t>
            </w:r>
          </w:p>
        </w:tc>
        <w:tc>
          <w:tcPr>
            <w:tcW w:type="dxa" w:w="363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Tratamento implementado</w:t>
            </w:r>
          </w:p>
        </w:tc>
        <w:tc>
          <w:tcPr>
            <w:tcW w:type="dxa" w:w="3930"/>
            <w:shd w:fill="EE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A2B47"/>
                <w:sz w:val="18"/>
              </w:rPr>
              <w:t>Impacto / leitura correta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Setor não classificado</w:t>
            </w:r>
          </w:p>
        </w:tc>
        <w:tc>
          <w:tcPr>
            <w:tcW w:type="dxa" w:w="3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setor_destino vazio ou ‘CATEGORIZAR’ vira ‘Não categorizado’</w:t>
            </w:r>
          </w:p>
        </w:tc>
        <w:tc>
          <w:tcPr>
            <w:tcW w:type="dxa" w:w="3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Não aparece na pizza; percentual de quantidade é preservado. Participação alta reduz a completude analítica setorial.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Gênero não identificado</w:t>
            </w:r>
          </w:p>
        </w:tc>
        <w:tc>
          <w:tcPr>
            <w:tcW w:type="dxa" w:w="3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‘POR ATUALIZAR’ é convertido em ‘Não informado’</w:t>
            </w:r>
          </w:p>
        </w:tc>
        <w:tc>
          <w:tcPr>
            <w:tcW w:type="dxa" w:w="3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Não aparece como fatia de gênero; percentual é apresentado separadamente. Feminino e masculino não representam o total cadastrado.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Idade/renda sem dado</w:t>
            </w:r>
          </w:p>
        </w:tc>
        <w:tc>
          <w:tcPr>
            <w:tcW w:type="dxa" w:w="3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‘nao_informado’ e ‘sem_transacao’ são excluídos dos gráficos</w:t>
            </w:r>
          </w:p>
        </w:tc>
        <w:tc>
          <w:tcPr>
            <w:tcW w:type="dxa" w:w="3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Barras descrevem somente categorias classificadas; não há percentual de ausência para essas dimensões na V1.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Bairro ausente</w:t>
            </w:r>
          </w:p>
        </w:tc>
        <w:tc>
          <w:tcPr>
            <w:tcW w:type="dxa" w:w="3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Filtro oficial permite código vazio; agregações só contam lado com código reconhecido</w:t>
            </w:r>
          </w:p>
        </w:tc>
        <w:tc>
          <w:tcPr>
            <w:tcW w:type="dxa" w:w="3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Linhas podem compor outras métricas, mas não entram no lado territorial ausente.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Nomes de bairro</w:t>
            </w:r>
          </w:p>
        </w:tc>
        <w:tc>
          <w:tcPr>
            <w:tcW w:type="dxa" w:w="3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Normalização de acentos e aliases</w:t>
            </w:r>
          </w:p>
        </w:tc>
        <w:tc>
          <w:tcPr>
            <w:tcW w:type="dxa" w:w="3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Reduz perda de cruzamento IBP/códigos; novos alias exigem alteração de código/ETL.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Último mês de indicadores</w:t>
            </w:r>
          </w:p>
        </w:tc>
        <w:tc>
          <w:tcPr>
            <w:tcW w:type="dxa" w:w="36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Excluído da linha de alcance</w:t>
            </w:r>
          </w:p>
        </w:tc>
        <w:tc>
          <w:tcPr>
            <w:tcW w:type="dxa" w:w="39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E293B"/>
                <w:sz w:val="17"/>
              </w:rPr>
              <w:t>Evita comparar mês parcial como se fosse fechado; a regra é específica desse gráfico.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Limitações técnicas adicionais: (1) o CSV é lido na rota por separação simples de vírgula; a fonte pressupõe ausência de vírgulas escapadas nos campos; (2) os dados são carregados em memória por processo, sem invalidação programada; (3) não há validação de esquema em tempo de execução; (4) vários Route Handlers usam any e o lint atual aponta ocorrências preexistentes de no-explicit-any; (5) a checagem TypeScript integral ainda reporta incompatibilidades de tipagem nos callbacks de Tooltip/Pie do Recharts. Esses pontos não impedem a leitura local verificada, mas precisam ser resolvidos antes de tratar a V1 como pipeline de produção contínua.</w:t>
      </w:r>
    </w:p>
    <w:p>
      <w:pPr>
        <w:pStyle w:val="Heading1"/>
      </w:pPr>
      <w:r>
        <w:t>9. Interface, acessibilidade e experiência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 tema usa fundo escuro, painéis semitransparentes, bordas sutis, tipografia Inter/Outfit carregada por CSS e acentos de cor consistentes: índigo para foco, verde para volume financeiro e amarelo para alertas/qualidade. Os painéis são agrupados por cabeçalhos de seção: Alcance da moeda, Circulação econômica, Leitura territorial e Perfil dos usuários.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Os tooltips contextuais do LM3 e do IBP são botões circulares ‘i’ posicionados no canto superior direito dos cards. Eles aparecem ao passar o mouse ou ao receber foco, incluem role=tooltip e aria-describedby. Os seletores possuem aria-label. O mapa é carregado com dynamic(..., { ssr: false }) para evitar acesso a window durante renderização no servidor.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A remoção da barra lateral elimina links sem destino funcional. O conteúdo principal agora é centralizado e tem largura máxima de 1.440 px; em telas menores, o padding é reduzido. O layout dos cards mantém grids autoajustáveis onde utilizado.</w:t>
      </w:r>
    </w:p>
    <w:p>
      <w:pPr>
        <w:pStyle w:val="Heading1"/>
      </w:pPr>
      <w:r>
        <w:t>10. Operação e validação da V1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Para executar localmente: npm ci e npm run dev; a aplicação responde em http://localhost:3000. O README lista Node.js 20+ e npm 10+ como requisitos. Os arquivos de dados devem ser copiados com os nomes esperados para dados_edinheiro, pois as rotas dependem diretamente desses caminhos.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1E293B"/>
          <w:sz w:val="20"/>
        </w:rPr>
        <w:t>Validação funcional realizada durante a evolução: rota /api/transacoes respondeu com sucesso, retornou 52 linhas do IBP e confirmou mudança das contagens ao trocar ibpAno.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1E293B"/>
          <w:sz w:val="20"/>
        </w:rPr>
        <w:t>Validação setorial realizada: ‘Não categorizado’ não é enviado à pizza e percentualNaoCategorizado é retornado separadamente pela API.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1E293B"/>
          <w:sz w:val="20"/>
        </w:rPr>
        <w:t>Validação de renderização local: a página principal respondeu HTTP 200 após a reorganização das seções.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color w:val="1E293B"/>
          <w:sz w:val="20"/>
        </w:rPr>
        <w:t>O lint e a tipagem ainda requerem saneamento das ocorrências preexistentes detalhadas na seção 8 antes de automatizar gates de CI/CD estritos.</w:t>
      </w:r>
    </w:p>
    <w:p>
      <w:pPr>
        <w:pStyle w:val="Heading1"/>
      </w:pPr>
      <w:r>
        <w:t>11. Estado de encerramento da V1</w:t>
      </w:r>
    </w:p>
    <w:p>
      <w:pPr>
        <w:spacing w:after="120" w:line="269" w:lineRule="auto"/>
      </w:pPr>
      <w:r>
        <w:rPr>
          <w:rFonts w:ascii="Aptos" w:hAnsi="Aptos"/>
          <w:b w:val="0"/>
          <w:color w:val="1E293B"/>
          <w:sz w:val="21"/>
        </w:rPr>
        <w:t>A V1 fica congelada nesta etapa funcional: sem menu lateral, sem novos indicadores e com as visualizações existentes organizadas por narrativa de alcance, circulação, território e perfil. Os filtros anuais independentes para ranking, LM3 e IBP, os tooltips explicativos e os indicadores de ausência de classificação permanecem como parte do comportamento documentado.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4F46E5"/>
                <w:sz w:val="20"/>
              </w:rPr>
              <w:t>Uso recomendado</w:t>
            </w:r>
          </w:p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334155"/>
                <w:sz w:val="19"/>
              </w:rPr>
              <w:t>Interpretar as visualizações como agregações de registros operacionais no recorte territorial preparado. Antes de qualquer comparação externa, decisão de política pública ou publicação, revisar a competência temporal, a semântica de ‘ativo’ versus ‘acumulado’ e os percentuais de campos não classificados.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475569"/>
        <w:sz w:val="16"/>
      </w:rPr>
      <w:t xml:space="preserve">Documento técnico interno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75569"/>
        <w:sz w:val="16"/>
      </w:rPr>
      <w:t>DASHBOARD ARARIBOIA | RELATÓRIO TÉCNICO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2B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2B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- Dashboard Arariboia V1</dc:title>
  <dc:subject>Arquitetura, dados, visualizações, filtros e qualidade da primeira versão</dc:subject>
  <dc:creator>Projeto Dashboard Arariboia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