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Désignation du Responsable Réclamations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AF-DESRECL-V2.5.16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</w:rPr>
        <w:t>Concarneau, le 09/01/2026</w:t>
      </w:r>
    </w:p>
    <w:p/>
    <w:p>
      <w:r>
        <w:rPr>
          <w:rFonts w:ascii="Calibri" w:hAnsi="Calibri"/>
        </w:rPr>
        <w:t>Objet : Désignation du Responsable Réclamations</w:t>
      </w:r>
    </w:p>
    <w:p/>
    <w:p>
      <w:r>
        <w:rPr>
          <w:rFonts w:ascii="Calibri" w:hAnsi="Calibri"/>
        </w:rPr>
        <w:t>Je soussigné Hicham SAIDI, co-dirigeant d’Access Formation SARL, désigne Hicham SAIDI pour :</w:t>
      </w:r>
    </w:p>
    <w:p>
      <w:pPr>
        <w:pStyle w:val="ListBullet"/>
      </w:pPr>
      <w:r>
        <w:rPr>
          <w:rFonts w:ascii="Calibri" w:hAnsi="Calibri"/>
        </w:rPr>
        <w:t>Responsable Réclamations</w:t>
      </w:r>
    </w:p>
    <w:p/>
    <w:p>
      <w:r>
        <w:rPr>
          <w:rFonts w:ascii="Calibri" w:hAnsi="Calibri"/>
        </w:rPr>
        <w:t>Missions principales :</w:t>
      </w:r>
    </w:p>
    <w:p>
      <w:pPr>
        <w:pStyle w:val="ListBullet"/>
      </w:pPr>
      <w:r>
        <w:rPr>
          <w:rFonts w:ascii="Calibri" w:hAnsi="Calibri"/>
        </w:rPr>
        <w:t>Gérer les réclamations reçues par email, téléphone ou formulaire IONOS.</w:t>
      </w:r>
    </w:p>
    <w:p>
      <w:pPr>
        <w:pStyle w:val="ListBullet"/>
      </w:pPr>
      <w:r>
        <w:rPr>
          <w:rFonts w:ascii="Calibri" w:hAnsi="Calibri"/>
        </w:rPr>
        <w:t>Assurer un premier retour sous 48 heures.</w:t>
      </w:r>
    </w:p>
    <w:p>
      <w:pPr>
        <w:pStyle w:val="ListBullet"/>
      </w:pPr>
      <w:r>
        <w:rPr>
          <w:rFonts w:ascii="Calibri" w:hAnsi="Calibri"/>
        </w:rPr>
        <w:t>Tracer le traitement dans le registre réclamations (AF-RECLREG) et déclencher une action corrective si nécessaire.</w:t>
      </w:r>
    </w:p>
    <w:p/>
    <w:p>
      <w:r>
        <w:rPr>
          <w:rFonts w:ascii="Calibri" w:hAnsi="Calibri"/>
        </w:rPr>
        <w:t>Moyens et organisation :</w:t>
      </w:r>
    </w:p>
    <w:p>
      <w:pPr>
        <w:pStyle w:val="ListBullet"/>
      </w:pPr>
      <w:r>
        <w:rPr>
          <w:rFonts w:ascii="Calibri" w:hAnsi="Calibri"/>
        </w:rPr>
        <w:t>Accès complet à Access Campus (documents et archives) et Sellsy (CRM, devis, facturation).</w:t>
      </w:r>
    </w:p>
    <w:p>
      <w:pPr>
        <w:pStyle w:val="ListBullet"/>
      </w:pPr>
      <w:r>
        <w:rPr>
          <w:rFonts w:ascii="Calibri" w:hAnsi="Calibri"/>
        </w:rPr>
        <w:t>Traçabilité via registres et versioning selon le système qualité Access Formation.</w:t>
      </w:r>
    </w:p>
    <w:p/>
    <w:p>
      <w:r>
        <w:rPr>
          <w:rFonts w:ascii="Calibri" w:hAnsi="Calibri"/>
        </w:rP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