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Information au public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AF-INFO-V2.5.16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Toutes les actions de formation Access Formation (SST, MAC SST, Manipulation extincteurs, EPI, B0H0V, R485/R489 interne) – 100% intra présentiel.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Hicham SAIDI (validation).</w:t>
      </w:r>
    </w:p>
    <w:p>
      <w:pPr>
        <w:pStyle w:val="ListBullet"/>
      </w:pPr>
      <w:r>
        <w:rPr>
          <w:rFonts w:ascii="Calibri" w:hAnsi="Calibri"/>
        </w:rPr>
        <w:t>Contributeur : Maxime LANGLAIS (contenu pédagogique).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Mettre à disposition sur le site web et la plaquette : objectifs, durée, effectifs, prérequis, modalités, délais d’accès (1 mois), évaluations, contacts, handicap, réclamations, tarifs sur devis.</w:t>
      </w:r>
    </w:p>
    <w:p>
      <w:pPr>
        <w:pStyle w:val="ListBullet"/>
      </w:pPr>
      <w:r>
        <w:rPr>
          <w:rFonts w:ascii="Calibri" w:hAnsi="Calibri"/>
        </w:rPr>
        <w:t>À chaque mise à jour : enregistrer une capture datée (PDF) et archiver la plaquette datée.</w:t>
      </w:r>
    </w:p>
    <w:p>
      <w:pPr>
        <w:pStyle w:val="ListBullet"/>
      </w:pPr>
      <w:r>
        <w:rPr>
          <w:rFonts w:ascii="Calibri" w:hAnsi="Calibri"/>
        </w:rPr>
        <w:t>Tracer la mise à jour dans le registre versions (AF-VERREG).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Captures datées de la page web (PDF).</w:t>
      </w:r>
    </w:p>
    <w:p>
      <w:pPr>
        <w:pStyle w:val="ListBullet"/>
      </w:pPr>
      <w:r>
        <w:rPr>
          <w:rFonts w:ascii="Calibri" w:hAnsi="Calibri"/>
        </w:rPr>
        <w:t>Plaquette datée (PDF).</w:t>
      </w:r>
    </w:p>
    <w:p>
      <w:pPr>
        <w:pStyle w:val="ListBullet"/>
      </w:pPr>
      <w:r>
        <w:rPr>
          <w:rFonts w:ascii="Calibri" w:hAnsi="Calibri"/>
        </w:rPr>
        <w:t>Entrée AF-VERREG associée à la mise à jour.</w:t>
      </w:r>
    </w:p>
    <w:p/>
    <w:p>
      <w:r>
        <w:rPr>
          <w:rFonts w:ascii="Calibri" w:hAnsi="Calibri"/>
          <w:b/>
          <w:sz w:val="25"/>
        </w:rPr>
        <w:t>Indicateurs et déclencheurs</w:t>
      </w:r>
    </w:p>
    <w:p>
      <w:pPr>
        <w:pStyle w:val="ListBullet"/>
      </w:pPr>
      <w:r>
        <w:rPr>
          <w:rFonts w:ascii="Calibri" w:hAnsi="Calibri"/>
        </w:rPr>
        <w:t>Déclencheur : évolution réglementaire, retour client/stagiaire, mise à jour programme/support.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