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Référent Déontologie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AF-DESDEON-V2.5.16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Référent Déontologie</w:t>
      </w:r>
    </w:p>
    <w:p/>
    <w:p>
      <w:r>
        <w:rPr>
          <w:rFonts w:ascii="Calibri" w:hAnsi="Calibri"/>
        </w:rPr>
        <w:t>Je soussigné Hicham SAIDI, co-dirigeant d’Access Formation SARL, désigne Maxime LANGLAIS pour :</w:t>
      </w:r>
    </w:p>
    <w:p>
      <w:pPr>
        <w:pStyle w:val="ListBullet"/>
      </w:pPr>
      <w:r>
        <w:rPr>
          <w:rFonts w:ascii="Calibri" w:hAnsi="Calibri"/>
        </w:rPr>
        <w:t>Référent Déontologie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Porter la charte de déontologie Access Formation.</w:t>
      </w:r>
    </w:p>
    <w:p>
      <w:pPr>
        <w:pStyle w:val="ListBullet"/>
      </w:pPr>
      <w:r>
        <w:rPr>
          <w:rFonts w:ascii="Calibri" w:hAnsi="Calibri"/>
        </w:rPr>
        <w:t>Recevoir et tracer toute alerte déontologique et les actions associées.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