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Procédure – Non-conformités &amp; actions correctives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AF-NC-V2.5.16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Procédure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Maxime LANGLAIS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Objet</w:t>
      </w:r>
    </w:p>
    <w:p>
      <w:r>
        <w:rPr>
          <w:rFonts w:ascii="Calibri" w:hAnsi="Calibri"/>
          <w:sz w:val="21"/>
        </w:rPr>
        <w:t>Décrire l’organisation et les étapes afin d’assurer une mise en œuvre homogène, traçable et conforme au référentiel référentiel national qualité (RNQ).</w:t>
      </w:r>
    </w:p>
    <w:p/>
    <w:p>
      <w:r>
        <w:rPr>
          <w:rFonts w:ascii="Calibri" w:hAnsi="Calibri"/>
          <w:b/>
          <w:sz w:val="25"/>
        </w:rPr>
        <w:t>Champ d’application</w:t>
      </w:r>
    </w:p>
    <w:p>
      <w:r>
        <w:rPr>
          <w:rFonts w:ascii="Calibri" w:hAnsi="Calibri"/>
          <w:sz w:val="21"/>
        </w:rPr>
        <w:t>Gestion des non-conformités et plans d’actions pour l’ensemble des processus.</w:t>
      </w:r>
    </w:p>
    <w:p/>
    <w:p>
      <w:r>
        <w:rPr>
          <w:rFonts w:ascii="Calibri" w:hAnsi="Calibri"/>
          <w:b/>
          <w:sz w:val="25"/>
        </w:rPr>
        <w:t>Responsabilités</w:t>
      </w:r>
    </w:p>
    <w:p>
      <w:pPr>
        <w:pStyle w:val="ListBullet"/>
      </w:pPr>
      <w:r>
        <w:rPr>
          <w:rFonts w:ascii="Calibri" w:hAnsi="Calibri"/>
        </w:rPr>
        <w:t>Responsable amélioration continue : Maxime LANGLAIS.</w:t>
      </w:r>
    </w:p>
    <w:p>
      <w:pPr>
        <w:pStyle w:val="ListBullet"/>
      </w:pPr>
      <w:r>
        <w:rPr>
          <w:rFonts w:ascii="Calibri" w:hAnsi="Calibri"/>
        </w:rPr>
        <w:t>Validation qualité : Hicham SAIDI.</w:t>
      </w:r>
    </w:p>
    <w:p/>
    <w:p>
      <w:r>
        <w:rPr>
          <w:rFonts w:ascii="Calibri" w:hAnsi="Calibri"/>
          <w:b/>
          <w:sz w:val="25"/>
        </w:rPr>
        <w:t>Déroulé</w:t>
      </w:r>
    </w:p>
    <w:p>
      <w:pPr>
        <w:pStyle w:val="ListBullet"/>
      </w:pPr>
      <w:r>
        <w:rPr>
          <w:rFonts w:ascii="Calibri" w:hAnsi="Calibri"/>
        </w:rPr>
        <w:t>Créer une NC lorsqu’un écart est constaté (réclamation, incident, satisfaction &lt; 3/5, écart documentaire).</w:t>
      </w:r>
    </w:p>
    <w:p>
      <w:pPr>
        <w:pStyle w:val="ListBullet"/>
      </w:pPr>
      <w:r>
        <w:rPr>
          <w:rFonts w:ascii="Calibri" w:hAnsi="Calibri"/>
        </w:rPr>
        <w:t>Renseigner l’écart, la cause, l’action immédiate, l’action corrective, le responsable et l’échéance.</w:t>
      </w:r>
    </w:p>
    <w:p>
      <w:pPr>
        <w:pStyle w:val="ListBullet"/>
      </w:pPr>
      <w:r>
        <w:rPr>
          <w:rFonts w:ascii="Calibri" w:hAnsi="Calibri"/>
        </w:rPr>
        <w:t>Vérifier l’efficacité et clôturer avec preuve.</w:t>
      </w:r>
    </w:p>
    <w:p/>
    <w:p>
      <w:r>
        <w:rPr>
          <w:rFonts w:ascii="Calibri" w:hAnsi="Calibri"/>
          <w:b/>
          <w:sz w:val="25"/>
        </w:rPr>
        <w:t>Enregistrements / preuves</w:t>
      </w:r>
    </w:p>
    <w:p>
      <w:pPr>
        <w:pStyle w:val="ListBullet"/>
      </w:pPr>
      <w:r>
        <w:rPr>
          <w:rFonts w:ascii="Calibri" w:hAnsi="Calibri"/>
        </w:rPr>
        <w:t>Registre NC/Actions (AF-NCREG).</w:t>
      </w:r>
    </w:p>
    <w:p>
      <w:pPr>
        <w:pStyle w:val="ListBullet"/>
      </w:pPr>
      <w:r>
        <w:rPr>
          <w:rFonts w:ascii="Calibri" w:hAnsi="Calibri"/>
        </w:rPr>
        <w:t>Preuves associées (documents, emails, photos, etc.).</w:t>
      </w:r>
    </w:p>
    <w:p/>
    <w:p>
      <w:r>
        <w:rPr>
          <w:rFonts w:ascii="Calibri" w:hAnsi="Calibri"/>
          <w:b/>
          <w:sz w:val="25"/>
        </w:rPr>
        <w:t>Archivage</w:t>
      </w:r>
    </w:p>
    <w:p>
      <w:r>
        <w:rPr>
          <w:rFonts w:ascii="Calibri" w:hAnsi="Calibri"/>
          <w:sz w:val="21"/>
        </w:rPr>
        <w:t>Durée de conservation : 5 ans. Stockage : Access Campus + archive physique si nécessaire.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>Access Formation SARL • Organisme certifié RNQ • V2.5.23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