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Réclamations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AF-RECLPROC-V2.5.16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Réclamations reçues par email, téléphone ou formulaire.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SAIDI.</w:t>
      </w:r>
    </w:p>
    <w:p>
      <w:pPr>
        <w:pStyle w:val="ListBullet"/>
      </w:pPr>
      <w:r>
        <w:rPr>
          <w:rFonts w:ascii="Calibri" w:hAnsi="Calibri"/>
        </w:rPr>
        <w:t>Appui : Maxime LANGLAIS.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Enregistrer la réclamation dès réception (AF-RECLREG).</w:t>
      </w:r>
    </w:p>
    <w:p>
      <w:pPr>
        <w:pStyle w:val="ListBullet"/>
      </w:pPr>
      <w:r>
        <w:rPr>
          <w:rFonts w:ascii="Calibri" w:hAnsi="Calibri"/>
        </w:rPr>
        <w:t>Accuser réception et transmettre un premier retour sous 48 heures.</w:t>
      </w:r>
    </w:p>
    <w:p>
      <w:pPr>
        <w:pStyle w:val="ListBullet"/>
      </w:pPr>
      <w:r>
        <w:rPr>
          <w:rFonts w:ascii="Calibri" w:hAnsi="Calibri"/>
        </w:rPr>
        <w:t>Analyser la cause et définir la réponse et les actions associées.</w:t>
      </w:r>
    </w:p>
    <w:p>
      <w:pPr>
        <w:pStyle w:val="ListBullet"/>
      </w:pPr>
      <w:r>
        <w:rPr>
          <w:rFonts w:ascii="Calibri" w:hAnsi="Calibri"/>
        </w:rPr>
        <w:t>Si nécessaire, ouvrir une NC/Action corrective et suivre jusqu’à clôture.</w:t>
      </w:r>
    </w:p>
    <w:p>
      <w:pPr>
        <w:pStyle w:val="ListBullet"/>
      </w:pPr>
      <w:r>
        <w:rPr>
          <w:rFonts w:ascii="Calibri" w:hAnsi="Calibri"/>
        </w:rPr>
        <w:t>Archiver la preuve de réponse.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Registre réclamations (AF-RECLREG).</w:t>
      </w:r>
    </w:p>
    <w:p>
      <w:pPr>
        <w:pStyle w:val="ListBullet"/>
      </w:pPr>
      <w:r>
        <w:rPr>
          <w:rFonts w:ascii="Calibri" w:hAnsi="Calibri"/>
        </w:rPr>
        <w:t>Preuves : emails, compte rendu d’appel, actions correctives.</w:t>
      </w:r>
    </w:p>
    <w:p/>
    <w:p>
      <w:r>
        <w:rPr>
          <w:rFonts w:ascii="Calibri" w:hAnsi="Calibri"/>
          <w:b/>
          <w:sz w:val="25"/>
        </w:rPr>
        <w:t>Indicateurs et déclencheurs</w:t>
      </w:r>
    </w:p>
    <w:p>
      <w:pPr>
        <w:pStyle w:val="ListBullet"/>
      </w:pPr>
      <w:r>
        <w:rPr>
          <w:rFonts w:ascii="Calibri" w:hAnsi="Calibri"/>
        </w:rPr>
        <w:t>Déclencheur : réclamation, récurrence, score satisfaction &lt; 3/5.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