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Incident / sécurité en formation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AF-INCID-V2.5.16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Tout incident, quasi-incident ou situation de sécurité sur une session.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Formateur animateur (gestion immédiate).</w:t>
      </w:r>
    </w:p>
    <w:p>
      <w:pPr>
        <w:pStyle w:val="ListBullet"/>
      </w:pPr>
      <w:r>
        <w:rPr>
          <w:rFonts w:ascii="Calibri" w:hAnsi="Calibri"/>
        </w:rPr>
        <w:t>Validation / suivi : Hicham SAIDI.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Sécuriser la zone et appliquer les consignes du site client.</w:t>
      </w:r>
    </w:p>
    <w:p>
      <w:pPr>
        <w:pStyle w:val="ListBullet"/>
      </w:pPr>
      <w:r>
        <w:rPr>
          <w:rFonts w:ascii="Calibri" w:hAnsi="Calibri"/>
        </w:rPr>
        <w:t>Assister la personne concernée et déclencher les secours si nécessaire.</w:t>
      </w:r>
    </w:p>
    <w:p>
      <w:pPr>
        <w:pStyle w:val="ListBullet"/>
      </w:pPr>
      <w:r>
        <w:rPr>
          <w:rFonts w:ascii="Calibri" w:hAnsi="Calibri"/>
        </w:rPr>
        <w:t>Informer le référent client et tracer l’événement (AF-INCIDF).</w:t>
      </w:r>
    </w:p>
    <w:p>
      <w:pPr>
        <w:pStyle w:val="ListBullet"/>
      </w:pPr>
      <w:r>
        <w:rPr>
          <w:rFonts w:ascii="Calibri" w:hAnsi="Calibri"/>
        </w:rPr>
        <w:t>Analyser la cause et ouvrir une NC/Action corrective si utile.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Fiche incident (AF-INCIDF).</w:t>
      </w:r>
    </w:p>
    <w:p>
      <w:pPr>
        <w:pStyle w:val="ListBullet"/>
      </w:pPr>
      <w:r>
        <w:rPr>
          <w:rFonts w:ascii="Calibri" w:hAnsi="Calibri"/>
        </w:rPr>
        <w:t>Registre NC/Actions (AF-NCREG) si action corrective.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