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Procédure – Évaluations (positionnement, acquis, réussite)</w:t>
      </w:r>
    </w:p>
    <w:p>
      <w:r>
        <w:rPr>
          <w:sz w:val="20"/>
        </w:rPr>
        <w:t>Access Formation SARL – SIRET 94356386600012 – NDA 53291026129 – 24 rue Kerbleiz, 29900 Concarneau</w:t>
      </w:r>
    </w:p>
    <w:p>
      <w:r>
        <w:rPr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AF-EVALPROC-V2.5.16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Maxime LANGLAIS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</w:tr>
    </w:tbl>
    <w:p/>
    <w:p>
      <w:r>
        <w:rPr>
          <w:b/>
          <w:sz w:val="25"/>
        </w:rPr>
        <w:t>Objet</w:t>
      </w:r>
    </w:p>
    <w:p>
      <w:r>
        <w:rPr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b/>
          <w:sz w:val="25"/>
        </w:rPr>
        <w:t>Champ d’application</w:t>
      </w:r>
    </w:p>
    <w:p>
      <w:r>
        <w:rPr>
          <w:sz w:val="21"/>
        </w:rPr>
        <w:t>Évaluations pour l’ensemble des actions de formation.</w:t>
      </w:r>
    </w:p>
    <w:p/>
    <w:p>
      <w:r>
        <w:rPr>
          <w:b/>
          <w:sz w:val="25"/>
        </w:rPr>
        <w:t>Responsabilités</w:t>
      </w:r>
    </w:p>
    <w:p>
      <w:pPr>
        <w:pStyle w:val="ListBullet"/>
      </w:pPr>
      <w:r>
        <w:t>Responsable : Formateur animateur.</w:t>
      </w:r>
    </w:p>
    <w:p>
      <w:pPr>
        <w:pStyle w:val="ListBullet"/>
      </w:pPr>
      <w:r>
        <w:t>Référent pédagogique : Maxime LANGLAIS.</w:t>
      </w:r>
    </w:p>
    <w:p>
      <w:pPr>
        <w:pStyle w:val="ListBullet"/>
      </w:pPr>
      <w:r>
        <w:t>Validation qualité : Hicham SAIDI.</w:t>
      </w:r>
    </w:p>
    <w:p/>
    <w:p>
      <w:r>
        <w:rPr>
          <w:b/>
          <w:sz w:val="25"/>
        </w:rPr>
        <w:t>Déroulé</w:t>
      </w:r>
    </w:p>
    <w:p>
      <w:pPr>
        <w:pStyle w:val="ListBullet"/>
      </w:pPr>
      <w:r>
        <w:t>Positionnement en début de session : QCM + questions ouvertes.</w:t>
      </w:r>
    </w:p>
    <w:p>
      <w:pPr>
        <w:pStyle w:val="ListBullet"/>
      </w:pPr>
      <w:r>
        <w:t>Évaluation sommative en fin de session, décision formateur.</w:t>
      </w:r>
    </w:p>
    <w:p>
      <w:pPr>
        <w:pStyle w:val="ListBullet"/>
      </w:pPr>
      <w:r>
        <w:t>Modalités spécifiques :</w:t>
      </w:r>
    </w:p>
    <w:p>
      <w:pPr>
        <w:pStyle w:val="ListBullet"/>
      </w:pPr>
      <w:r>
        <w:t>• SST / MAC SST : grilles et modalités du référentiel applicable.</w:t>
      </w:r>
    </w:p>
    <w:p>
      <w:pPr>
        <w:pStyle w:val="ListBullet"/>
      </w:pPr>
      <w:r>
        <w:t>• Manipulation extincteurs (2h) : pratique + QCM.</w:t>
      </w:r>
    </w:p>
    <w:p>
      <w:pPr>
        <w:pStyle w:val="ListBullet"/>
      </w:pPr>
      <w:r>
        <w:t>• EPI (4h) : pratique + QCM.</w:t>
      </w:r>
    </w:p>
    <w:p>
      <w:pPr>
        <w:pStyle w:val="ListBullet"/>
      </w:pPr>
      <w:r>
        <w:t>• B0H0V (7h) : mises en situation + questions ouvertes (avis formateur).</w:t>
      </w:r>
    </w:p>
    <w:p>
      <w:pPr>
        <w:pStyle w:val="ListBullet"/>
      </w:pPr>
      <w:r>
        <w:t>• R485 / R489 interne (7h) : attestation de réalisation + évaluation pratique + avis formateur pour autorisation de conduite.</w:t>
      </w:r>
    </w:p>
    <w:p/>
    <w:p>
      <w:r>
        <w:rPr>
          <w:b/>
          <w:sz w:val="25"/>
        </w:rPr>
        <w:t>Enregistrements / preuves</w:t>
      </w:r>
    </w:p>
    <w:p>
      <w:pPr>
        <w:pStyle w:val="ListBullet"/>
      </w:pPr>
      <w:r>
        <w:t>Feuilles d’évaluations / grilles.</w:t>
      </w:r>
    </w:p>
    <w:p>
      <w:pPr>
        <w:pStyle w:val="ListBullet"/>
      </w:pPr>
      <w:r>
        <w:t>Avis du formateur.</w:t>
      </w:r>
    </w:p>
    <w:p>
      <w:pPr>
        <w:pStyle w:val="ListBullet"/>
      </w:pPr>
      <w:r>
        <w:t>Attestation de réalisation.</w:t>
      </w:r>
    </w:p>
    <w:p/>
    <w:p>
      <w:r>
        <w:rPr>
          <w:b/>
          <w:sz w:val="25"/>
        </w:rPr>
        <w:t>Indicateurs et déclencheurs</w:t>
      </w:r>
    </w:p>
    <w:p>
      <w:pPr>
        <w:pStyle w:val="ListBullet"/>
      </w:pPr>
      <w:r>
        <w:t>Déclencheur action : taux de réussite &lt; 80% ou écart constaté =&gt; NC/plan d’action.</w:t>
      </w:r>
    </w:p>
    <w:p/>
    <w:p>
      <w:r>
        <w:rPr>
          <w:b/>
          <w:sz w:val="25"/>
        </w:rPr>
        <w:t>Archivage</w:t>
      </w:r>
    </w:p>
    <w:p>
      <w:r>
        <w:rPr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