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80"/>
        <w:jc w:val="center"/>
      </w:pPr>
      <w:r>
        <w:rPr>
          <w:rFonts w:ascii="Calibri" w:hAnsi="Calibri" w:eastAsia="Calibri"/>
          <w:b/>
          <w:color w:val="A06A00"/>
          <w:sz w:val="22"/>
        </w:rPr>
        <w:t>RESEARCH PROPOSAL</w:t>
      </w:r>
    </w:p>
    <w:p>
      <w:pPr>
        <w:spacing w:after="200"/>
        <w:jc w:val="center"/>
      </w:pPr>
      <w:r>
        <w:rPr>
          <w:rFonts w:ascii="Calibri" w:hAnsi="Calibri" w:eastAsia="Calibri"/>
          <w:b/>
          <w:color w:val="0B2545"/>
          <w:sz w:val="60"/>
        </w:rPr>
        <w:t>CurriculumDelta</w:t>
      </w:r>
    </w:p>
    <w:p>
      <w:pPr>
        <w:spacing w:after="120"/>
        <w:jc w:val="center"/>
      </w:pPr>
      <w:r>
        <w:rPr>
          <w:rFonts w:ascii="Calibri" w:hAnsi="Calibri" w:eastAsia="Calibri"/>
          <w:b/>
          <w:color w:val="1F4D78"/>
          <w:sz w:val="30"/>
        </w:rPr>
        <w:t>Budgeted Multi-Agent Consensus for Cross-Level Educational GraphRAG</w:t>
      </w:r>
    </w:p>
    <w:p>
      <w:pPr>
        <w:spacing w:after="600"/>
        <w:jc w:val="center"/>
      </w:pPr>
      <w:r>
        <w:rPr>
          <w:rFonts w:ascii="Calibri" w:hAnsi="Calibri" w:eastAsia="Calibri"/>
          <w:i/>
          <w:color w:val="5F6B78"/>
          <w:sz w:val="23"/>
        </w:rPr>
        <w:t>Định vị tính mới, graph construction, agentic framing và evaluation plan cho AAMAS 2027</w:t>
      </w:r>
    </w:p>
    <w:p>
      <w:pPr>
        <w:pBdr>
          <w:bottom w:val="single" w:sz="8" w:space="8" w:color="AAB4C0"/>
        </w:pBdr>
      </w:pPr>
    </w:p>
    <w:p>
      <w:pPr>
        <w:spacing w:before="440" w:after="80"/>
        <w:jc w:val="center"/>
      </w:pPr>
      <w:r>
        <w:rPr>
          <w:rFonts w:ascii="Calibri" w:hAnsi="Calibri" w:eastAsia="Calibri"/>
          <w:b/>
          <w:color w:val="18212B"/>
          <w:sz w:val="21"/>
        </w:rPr>
        <w:t>Bản làm việc cho tác giả và nhóm nghiên cứu</w:t>
      </w:r>
    </w:p>
    <w:p>
      <w:pPr>
        <w:jc w:val="center"/>
      </w:pPr>
      <w:r>
        <w:rPr>
          <w:rFonts w:ascii="Calibri" w:hAnsi="Calibri" w:eastAsia="Calibri"/>
          <w:color w:val="5F6B78"/>
          <w:sz w:val="20"/>
        </w:rPr>
        <w:t>25 tháng 8 năm 2026  |  Mục tiêu: AAMAS 2027 Main Track</w:t>
      </w:r>
    </w:p>
    <w:p>
      <w:r>
        <w:br w:type="page"/>
      </w:r>
    </w:p>
    <w:p>
      <w:pPr>
        <w:pStyle w:val="Heading1"/>
      </w:pPr>
      <w:r>
        <w:t>Tóm tắt định hướng</w:t>
      </w:r>
    </w:p>
    <w:tbl>
      <w:tblPr>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eastAsia="Calibri"/>
                <w:b/>
                <w:color w:val="2E74B5"/>
                <w:sz w:val="19"/>
              </w:rPr>
              <w:t xml:space="preserve">ĐỀ XUẤT TRUNG TÂM  </w:t>
            </w:r>
            <w:r>
              <w:rPr>
                <w:rFonts w:ascii="Calibri" w:hAnsi="Calibri" w:eastAsia="Calibri"/>
                <w:color w:val="18212B"/>
                <w:sz w:val="21"/>
              </w:rPr>
              <w:t>Không bán ý tưởng như một graph 'có level'. Hãy bán CurriculumDelta như một bài toán hợp nhất tri thức phân tán: các agent theo cấp học xây local views độc lập, sau đó dùng một protocol đồng thuận có ngân sách để phân rã atomic claims thành phần chung B_c và phần chênh lệch Δ_{c,l}, đồng thời giữ evidence và bất đồng.</w:t>
            </w:r>
          </w:p>
        </w:tc>
      </w:tr>
    </w:tbl>
    <w:p>
      <w:pPr>
        <w:spacing w:after="0"/>
      </w:pPr>
    </w:p>
    <w:p>
      <w:pPr/>
      <w:r>
        <w:rPr>
          <w:rFonts w:ascii="Calibri" w:hAnsi="Calibri" w:eastAsia="Calibri"/>
          <w:color w:val="18212B"/>
          <w:sz w:val="22"/>
        </w:rPr>
        <w:t>Motivation ban đầu - gắn level vào educational knowledge graph - vẫn đúng về nhu cầu ứng dụng nhưng không còn đủ mạnh để tạo novelty. K12-KGraph đã xây graph từ giáo trình chính thức xuyên nhiều lớp và dùng hierarchical merging/deduplication; CogNet-KG đã biểu diễn quan hệ cross-grade/cross-subject và thậm chí dùng một pipeline nhiều agent [1,2]. Vì vậy, paper cần chuyển từ câu hỏi 'làm thế nào chia graph theo lớp?' sang câu hỏi khó hơn: 'làm thế nào các agent có tri thức cục bộ, chồng lấn và đôi khi bất đồng có thể tạo ra một shared graph vừa bảo toàn độ sâu sư phạm, vừa giảm trùng lặp và chi phí?'</w:t>
      </w:r>
    </w:p>
    <w:p>
      <w:pPr/>
      <w:r>
        <w:rPr>
          <w:rFonts w:ascii="Calibri" w:hAnsi="Calibri" w:eastAsia="Calibri"/>
          <w:color w:val="18212B"/>
          <w:sz w:val="22"/>
        </w:rPr>
        <w:t>Đóng góp cốt lõi được đề xuất gồm: (i) biểu diễn claim-level Base/Delta thay cho concept-level merge; (ii) một protocol multi-agent đồng thuận có selective escalation, không dùng reinforcement learning; (iii) level-constrained graph retrieval tối ưu đồng thời độ đúng, độ phù hợp trình độ và chi phí; và (iv) benchmark có paired questions cùng concept nhưng khác lớp, có nhãn evidence và 'forbidden advanced claims'.</w:t>
      </w:r>
    </w:p>
    <w:p>
      <w:pPr>
        <w:pStyle w:val="Heading1"/>
      </w:pPr>
      <w:r>
        <w:t>1. Motivation: vì sao 'chia level' chưa đủ mới</w:t>
      </w:r>
    </w:p>
    <w:p>
      <w:pPr>
        <w:pStyle w:val="Heading2"/>
      </w:pPr>
      <w:r>
        <w:t>1.1. Nhu cầu thực tế vẫn tồn tại</w:t>
      </w:r>
    </w:p>
    <w:p>
      <w:pPr/>
      <w:r>
        <w:rPr>
          <w:rFonts w:ascii="Calibri" w:hAnsi="Calibri" w:eastAsia="Calibri"/>
          <w:color w:val="18212B"/>
          <w:sz w:val="22"/>
        </w:rPr>
        <w:t>Cùng một concept có thể xuất hiện ở lớp 9 và lớp 12 với mức overlap cao, nhưng lớp 12 thường bổ sung cơ chế, điều kiện, ngoại lệ, công thức hoặc quan hệ với các concept khác. Một hệ thống tutoring không được trả lời thiếu cho học sinh lớp 12, nhưng cũng không nên đẩy cơ chế quá nâng cao vào câu trả lời lớp 9. Hai graph riêng biệt giải quyết được cách ly level, nhưng lặp lại phần chung, khó cập nhật nhất quán và không hỗ trợ tốt câu hỏi chuyển tiếp như 'lớp 12 mở rộng kiến thức lớp 9 ở đâu?'. Một graph phẳng giảm lặp nhưng dễ làm mất dấu sự khác biệt về độ sâu.</w:t>
      </w:r>
    </w:p>
    <w:p>
      <w:pPr>
        <w:pStyle w:val="Heading2"/>
      </w:pPr>
      <w:r>
        <w:t>1.2. Khoảng trống sau K12-KGraph và CogNet-KG</w:t>
      </w:r>
    </w:p>
    <w:tbl>
      <w:tblPr>
        <w:tblW w:type="dxa" w:w="9360"/>
        <w:tblLayout w:type="fixed"/>
        <w:tblLook w:firstColumn="1" w:firstRow="1" w:lastColumn="0" w:lastRow="0" w:noHBand="0" w:noVBand="1" w:val="04A0"/>
        <w:jc w:val="left"/>
        <w:tblInd w:w="120" w:type="dxa"/>
        <w:tblBorders>
          <w:top w:val="single" w:sz="5" w:color="CCD4DD"/>
          <w:left w:val="single" w:sz="5" w:color="CCD4DD"/>
          <w:bottom w:val="single" w:sz="5" w:color="CCD4DD"/>
          <w:right w:val="single" w:sz="5" w:color="CCD4DD"/>
          <w:insideH w:val="single" w:sz="5" w:color="CCD4DD"/>
          <w:insideV w:val="single" w:sz="5" w:color="CCD4DD"/>
        </w:tblBorders>
      </w:tblPr>
      <w:tblGrid>
        <w:gridCol w:w="1800"/>
        <w:gridCol w:w="3300"/>
        <w:gridCol w:w="4260"/>
      </w:tblGrid>
      <w:tr>
        <w:trPr>
          <w:tblHeader w:val="true"/>
        </w:trPr>
        <w:tc>
          <w:tcPr>
            <w:tcW w:type="dxa" w:w="18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Công trình</w:t>
            </w:r>
          </w:p>
        </w:tc>
        <w:tc>
          <w:tcPr>
            <w:tcW w:type="dxa" w:w="33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Đã làm được</w:t>
            </w:r>
          </w:p>
        </w:tc>
        <w:tc>
          <w:tcPr>
            <w:tcW w:type="dxa" w:w="426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Khoảng trống còn lại cho paper này</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8212B"/>
                <w:sz w:val="17"/>
              </w:rPr>
              <w:t>K12-KGraph [1]</w:t>
            </w:r>
          </w:p>
        </w:tc>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8212B"/>
                <w:sz w:val="17"/>
              </w:rPr>
              <w:t>Graph giáo trình chính thức, nhiều môn/nhiều lớp; hierarchical merge; deduplicate concept/skill cùng tên; benchmark curriculum cognition.</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olor w:val="18212B"/>
                <w:sz w:val="17"/>
              </w:rPr>
              <w:t>Merge diễn ra chủ yếu ở entity/concept level. Chưa mô hình hóa rõ một concept như tập atomic claims gồm phần chung và delta theo từng lớp; chưa tối ưu GraphRAG theo level leakage và cost.</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CogNet-KG [2]</w:t>
            </w:r>
          </w:p>
        </w:tc>
        <w:tc>
          <w:tcPr>
            <w:tcW w:type="dxa" w:w="33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Cross-grade/cross-subject cognitive relations; learning objectives; pipeline bốn agent để nhận diện, chọn, phân tích và sửa relation.</w:t>
            </w:r>
          </w:p>
        </w:tc>
        <w:tc>
          <w:tcPr>
            <w:tcW w:type="dxa" w:w="42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Paper thừa nhận downstream dialogue/fine-tuning chưa khai thác hoặc đánh giá rõ cross-grade. Multi-agent roles đã có, nên 'dùng nhiều agent' không thể là novelty độc lập.</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8212B"/>
                <w:sz w:val="17"/>
              </w:rPr>
              <w:t>AutoKG và multi-source fusion [3,4]</w:t>
            </w:r>
          </w:p>
        </w:tc>
        <w:tc>
          <w:tcPr>
            <w:tcW w:type="dxa" w:w="3300"/>
            <w:tcMar>
              <w:top w:w="80" w:type="dxa"/>
              <w:start w:w="120" w:type="dxa"/>
              <w:bottom w:w="80" w:type="dxa"/>
              <w:end w:w="120" w:type="dxa"/>
            </w:tcMar>
            <w:vAlign w:val="center"/>
          </w:tcPr>
          <w:p>
            <w:pPr>
              <w:spacing w:after="0" w:line="259" w:lineRule="auto"/>
            </w:pPr>
            <w:r>
              <w:rPr>
                <w:rFonts w:ascii="Calibri" w:hAnsi="Calibri" w:eastAsia="Calibri"/>
                <w:color w:val="18212B"/>
                <w:sz w:val="17"/>
              </w:rPr>
              <w:t>LLM agents cho KG construction; incremental fusion, conflict handling và tiered routing đã được nghiên cứu ở miền tổng quát.</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olor w:val="18212B"/>
                <w:sz w:val="17"/>
              </w:rPr>
              <w:t>Chưa giải quyết cấu trúc sư phạm Base/Delta, quan hệ depth giữa claims và retrieval policy có ràng buộc cấp học.</w:t>
            </w:r>
          </w:p>
        </w:tc>
      </w:tr>
    </w:tbl>
    <w:p>
      <w:pPr>
        <w:spacing w:after="0"/>
      </w:pPr>
    </w:p>
    <w:tbl>
      <w:tblPr>
        <w:tblW w:type="dxa" w:w="9360"/>
        <w:jc w:val="left"/>
        <w:tblLayout w:type="fixed"/>
        <w:tblLook w:firstColumn="1" w:firstRow="1" w:lastColumn="0" w:lastRow="0" w:noHBand="0" w:noVBand="1" w:val="04A0"/>
        <w:tblInd w:w="120" w:type="dxa"/>
        <w:tblBorders>
          <w:top w:val="single" w:sz="8" w:color="A06A00"/>
          <w:left w:val="single" w:sz="8" w:color="A06A00"/>
          <w:bottom w:val="single" w:sz="8" w:color="A06A00"/>
          <w:right w:val="single" w:sz="8" w:color="A06A00"/>
          <w:insideH w:val="single" w:sz="8" w:color="A06A00"/>
          <w:insideV w:val="single" w:sz="8" w:color="A06A00"/>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eastAsia="Calibri"/>
                <w:b/>
                <w:color w:val="A06A00"/>
                <w:sz w:val="19"/>
              </w:rPr>
              <w:t xml:space="preserve">KẾT LUẬN NOVELTY  </w:t>
            </w:r>
            <w:r>
              <w:rPr>
                <w:rFonts w:ascii="Calibri" w:hAnsi="Calibri" w:eastAsia="Calibri"/>
                <w:color w:val="18212B"/>
                <w:sz w:val="21"/>
              </w:rPr>
              <w:t>Không claim 'first level-aware educational KG' hoặc 'first multi-agent KG builder'. Claim hợp lý hơn là first/novel claim-level pedagogical delta representation kết hợp với budgeted consensus protocol và level-calibrated retrieval - sau khi hoàn thành systematic literature review để xác nhận phạm vi claim.</w:t>
            </w:r>
          </w:p>
        </w:tc>
      </w:tr>
    </w:tbl>
    <w:p>
      <w:pPr>
        <w:spacing w:after="0"/>
      </w:pPr>
    </w:p>
    <w:p>
      <w:pPr>
        <w:pStyle w:val="Heading1"/>
      </w:pPr>
      <w:r>
        <w:t>2. Câu hỏi nghiên cứu và giả thuyết</w:t>
      </w:r>
    </w:p>
    <w:p>
      <w:pPr>
        <w:pStyle w:val="ListBullet"/>
        <w:spacing w:after="80" w:line="290" w:lineRule="auto"/>
        <w:ind w:left="540" w:hanging="279"/>
      </w:pPr>
      <w:r>
        <w:rPr>
          <w:rFonts w:ascii="Calibri" w:hAnsi="Calibri" w:eastAsia="Calibri"/>
          <w:color w:val="18212B"/>
          <w:sz w:val="22"/>
        </w:rPr>
        <w:t>RQ1 - Representation: Base/Delta ở mức atomic claim có bảo toàn khác biệt sư phạm tốt hơn concept merge hoặc hai graph riêng không?</w:t>
      </w:r>
    </w:p>
    <w:p>
      <w:pPr>
        <w:pStyle w:val="ListBullet"/>
        <w:spacing w:after="80" w:line="290" w:lineRule="auto"/>
        <w:ind w:left="540" w:hanging="279"/>
      </w:pPr>
      <w:r>
        <w:rPr>
          <w:rFonts w:ascii="Calibri" w:hAnsi="Calibri" w:eastAsia="Calibri"/>
          <w:color w:val="18212B"/>
          <w:sz w:val="22"/>
        </w:rPr>
        <w:t>RQ2 - Coordination: selective multi-agent consensus có tăng chất lượng graph ở cùng ngân sách so với một extractor trung tâm hoặc pipeline agent tuần tự không?</w:t>
      </w:r>
    </w:p>
    <w:p>
      <w:pPr>
        <w:pStyle w:val="ListBullet"/>
        <w:spacing w:after="80" w:line="290" w:lineRule="auto"/>
        <w:ind w:left="540" w:hanging="279"/>
      </w:pPr>
      <w:r>
        <w:rPr>
          <w:rFonts w:ascii="Calibri" w:hAnsi="Calibri" w:eastAsia="Calibri"/>
          <w:color w:val="18212B"/>
          <w:sz w:val="22"/>
        </w:rPr>
        <w:t>RQ3 - Retrieval: level-constrained traversal có tăng retrieval recall và answer quality mà không làm tăng level leakage không?</w:t>
      </w:r>
    </w:p>
    <w:p>
      <w:pPr>
        <w:pStyle w:val="ListBullet"/>
        <w:spacing w:after="80" w:line="290" w:lineRule="auto"/>
        <w:ind w:left="540" w:hanging="279"/>
      </w:pPr>
      <w:r>
        <w:rPr>
          <w:rFonts w:ascii="Calibri" w:hAnsi="Calibri" w:eastAsia="Calibri"/>
          <w:color w:val="18212B"/>
          <w:sz w:val="22"/>
        </w:rPr>
        <w:t>RQ4 - Efficiency: lưu phần chung một lần và chỉ escalate cặp khó có giảm token, chi phí, thời gian và kích thước index không?</w:t>
      </w:r>
    </w:p>
    <w:p>
      <w:pPr/>
      <w:r>
        <w:rPr>
          <w:rFonts w:ascii="Calibri" w:hAnsi="Calibri" w:eastAsia="Calibri"/>
          <w:color w:val="18212B"/>
          <w:sz w:val="22"/>
        </w:rPr>
        <w:t>Các giả thuyết phải được preregister trong experimental plan, không viết như kết quả đã biết:</w:t>
      </w:r>
    </w:p>
    <w:p>
      <w:pPr>
        <w:pStyle w:val="ListNumber"/>
        <w:spacing w:after="80" w:line="290" w:lineRule="auto"/>
        <w:ind w:left="540" w:hanging="279"/>
      </w:pPr>
      <w:r>
        <w:rPr>
          <w:rFonts w:ascii="Calibri" w:hAnsi="Calibri" w:eastAsia="Calibri"/>
          <w:color w:val="18212B"/>
          <w:sz w:val="22"/>
        </w:rPr>
        <w:t>H1: CurriculumDelta tăng Claim-F1 và Cross-level Recall@k so với two-independent-graphs trên nhóm câu hỏi transition/comparison.</w:t>
      </w:r>
    </w:p>
    <w:p>
      <w:pPr>
        <w:pStyle w:val="ListNumber"/>
        <w:spacing w:after="80" w:line="290" w:lineRule="auto"/>
        <w:ind w:left="540" w:hanging="279"/>
      </w:pPr>
      <w:r>
        <w:rPr>
          <w:rFonts w:ascii="Calibri" w:hAnsi="Calibri" w:eastAsia="Calibri"/>
          <w:color w:val="18212B"/>
          <w:sz w:val="22"/>
        </w:rPr>
        <w:t>H2: CurriculumDelta giảm Level Leakage Rate so với flat merged graph và K12-style concept merge; đối với two-independent-graphs, mục tiêu là ngang bằng leakage nhưng tốt hơn về cross-level coverage và cost.</w:t>
      </w:r>
    </w:p>
    <w:p>
      <w:pPr>
        <w:pStyle w:val="ListNumber"/>
        <w:spacing w:after="80" w:line="290" w:lineRule="auto"/>
        <w:ind w:left="540" w:hanging="279"/>
      </w:pPr>
      <w:r>
        <w:rPr>
          <w:rFonts w:ascii="Calibri" w:hAnsi="Calibri" w:eastAsia="Calibri"/>
          <w:color w:val="18212B"/>
          <w:sz w:val="22"/>
        </w:rPr>
        <w:t>H3: selective escalation đạt graph relation F1 ngang bằng hoặc cao hơn all-strong-model construction với chi phí thấp hơn.</w:t>
      </w:r>
    </w:p>
    <w:p>
      <w:pPr>
        <w:pStyle w:val="ListNumber"/>
        <w:spacing w:after="80" w:line="290" w:lineRule="auto"/>
        <w:ind w:left="540" w:hanging="279"/>
      </w:pPr>
      <w:r>
        <w:rPr>
          <w:rFonts w:ascii="Calibri" w:hAnsi="Calibri" w:eastAsia="Calibri"/>
          <w:color w:val="18212B"/>
          <w:sz w:val="22"/>
        </w:rPr>
        <w:t>H4: lợi ích không chỉ đến từ nhiều context hơn; khi giữ cố định top-k, context tokens và answer model, Base/Delta traversal vẫn tốt hơn các baseline.</w:t>
      </w:r>
    </w:p>
    <w:p>
      <w:pPr>
        <w:pStyle w:val="Heading1"/>
      </w:pPr>
      <w:r>
        <w:t>3. Method: CurriculumDelta graph construction</w:t>
      </w:r>
    </w:p>
    <w:p>
      <w:pPr>
        <w:pStyle w:val="Heading2"/>
      </w:pPr>
      <w:r>
        <w:t>3.1. Đầu vào và biểu diễn</w:t>
      </w:r>
    </w:p>
    <w:p>
      <w:pPr/>
      <w:r>
        <w:rPr>
          <w:rFonts w:ascii="Calibri" w:hAnsi="Calibri" w:eastAsia="Calibri"/>
          <w:color w:val="18212B"/>
          <w:sz w:val="22"/>
        </w:rPr>
        <w:t>Đầu vào là tập giáo trình Markdown D_l cho mỗi level l, ví dụ D_9 và D_12. Mỗi local curriculum agent chỉ được truy cập giáo trình và ontology của level mình. Agent tách từng section thành atomic claims có evidence span. Atomic không có nghĩa là chỉ chứa một concept; nó có nghĩa là một mệnh đề duy nhất. Một claim có thể nối nhiều concept bằng các vai trò SUBJECT, OBJECT và ABOUT.</w:t>
      </w:r>
    </w:p>
    <w:p>
      <w:pPr>
        <w:spacing w:before="80" w:after="160"/>
        <w:jc w:val="center"/>
      </w:pPr>
      <w:r>
        <w:rPr>
          <w:rFonts w:ascii="Cambria Math" w:hAnsi="Cambria Math" w:eastAsia="Cambria Math"/>
          <w:i/>
          <w:color w:val="0B2545"/>
          <w:sz w:val="23"/>
        </w:rPr>
        <w:t>A_l = Extract(D_l) = {(q_i, C_i, e_i, l, s_i)}</w:t>
      </w:r>
    </w:p>
    <w:p>
      <w:pPr/>
      <w:r>
        <w:rPr>
          <w:rFonts w:ascii="Calibri" w:hAnsi="Calibri" w:eastAsia="Calibri"/>
          <w:color w:val="18212B"/>
          <w:sz w:val="22"/>
        </w:rPr>
        <w:t>Trong đó q_i là claim, C_i là tập concept liên quan, e_i là evidence span, l là level và s_i là nguồn. Concept nodes không mang level; claim nodes mang tập level. Điều này tránh lặp level trên mọi edge và cho phép cùng một claim được truy cập từ nhiều concept.</w:t>
      </w:r>
    </w:p>
    <w:tbl>
      <w:tblPr>
        <w:tblW w:type="dxa" w:w="9360"/>
        <w:tblLayout w:type="fixed"/>
        <w:tblLook w:firstColumn="1" w:firstRow="1" w:lastColumn="0" w:lastRow="0" w:noHBand="0" w:noVBand="1" w:val="04A0"/>
        <w:jc w:val="left"/>
        <w:tblInd w:w="120" w:type="dxa"/>
        <w:tblBorders>
          <w:top w:val="single" w:sz="5" w:color="CCD4DD"/>
          <w:left w:val="single" w:sz="5" w:color="CCD4DD"/>
          <w:bottom w:val="single" w:sz="5" w:color="CCD4DD"/>
          <w:right w:val="single" w:sz="5" w:color="CCD4DD"/>
          <w:insideH w:val="single" w:sz="5" w:color="CCD4DD"/>
          <w:insideV w:val="single" w:sz="5" w:color="CCD4DD"/>
        </w:tblBorders>
      </w:tblPr>
      <w:tblGrid>
        <w:gridCol w:w="1600"/>
        <w:gridCol w:w="3000"/>
        <w:gridCol w:w="4760"/>
      </w:tblGrid>
      <w:tr>
        <w:trPr>
          <w:tblHeader w:val="true"/>
        </w:trPr>
        <w:tc>
          <w:tcPr>
            <w:tcW w:type="dxa" w:w="16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Node/edge</w:t>
            </w:r>
          </w:p>
        </w:tc>
        <w:tc>
          <w:tcPr>
            <w:tcW w:type="dxa" w:w="30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Thuộc tính chính</w:t>
            </w:r>
          </w:p>
        </w:tc>
        <w:tc>
          <w:tcPr>
            <w:tcW w:type="dxa" w:w="476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Vai trò</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Calibri"/>
                <w:color w:val="18212B"/>
                <w:sz w:val="17"/>
              </w:rPr>
              <w:t>Concept</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8212B"/>
                <w:sz w:val="17"/>
              </w:rPr>
              <w:t>canonical_name, aliases</w:t>
            </w:r>
          </w:p>
        </w:tc>
        <w:tc>
          <w:tcPr>
            <w:tcW w:type="dxa" w:w="4760"/>
            <w:tcMar>
              <w:top w:w="80" w:type="dxa"/>
              <w:start w:w="120" w:type="dxa"/>
              <w:bottom w:w="80" w:type="dxa"/>
              <w:end w:w="120" w:type="dxa"/>
            </w:tcMar>
            <w:vAlign w:val="center"/>
          </w:tcPr>
          <w:p>
            <w:pPr>
              <w:spacing w:after="0" w:line="259" w:lineRule="auto"/>
            </w:pPr>
            <w:r>
              <w:rPr>
                <w:rFonts w:ascii="Calibri" w:hAnsi="Calibri" w:eastAsia="Calibri"/>
                <w:color w:val="18212B"/>
                <w:sz w:val="17"/>
              </w:rPr>
              <w:t>Thực thể dùng chung xuyên lớp; không tự mang level.</w:t>
            </w:r>
          </w:p>
        </w:tc>
      </w:tr>
      <w:tr>
        <w:tc>
          <w:tcPr>
            <w:tcW w:type="dxa" w:w="16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Claim</w:t>
            </w:r>
          </w:p>
        </w:tc>
        <w:tc>
          <w:tcPr>
            <w:tcW w:type="dxa" w:w="30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text, levels, confidence, scope</w:t>
            </w:r>
          </w:p>
        </w:tc>
        <w:tc>
          <w:tcPr>
            <w:tcW w:type="dxa" w:w="47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Đơn vị tri thức để phân rã Base/Delta và retrieval.</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Calibri"/>
                <w:color w:val="18212B"/>
                <w:sz w:val="17"/>
              </w:rPr>
              <w:t>Source</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8212B"/>
                <w:sz w:val="17"/>
              </w:rPr>
              <w:t>file, heading, lines, level</w:t>
            </w:r>
          </w:p>
        </w:tc>
        <w:tc>
          <w:tcPr>
            <w:tcW w:type="dxa" w:w="4760"/>
            <w:tcMar>
              <w:top w:w="80" w:type="dxa"/>
              <w:start w:w="120" w:type="dxa"/>
              <w:bottom w:w="80" w:type="dxa"/>
              <w:end w:w="120" w:type="dxa"/>
            </w:tcMar>
            <w:vAlign w:val="center"/>
          </w:tcPr>
          <w:p>
            <w:pPr>
              <w:spacing w:after="0" w:line="259" w:lineRule="auto"/>
            </w:pPr>
            <w:r>
              <w:rPr>
                <w:rFonts w:ascii="Calibri" w:hAnsi="Calibri" w:eastAsia="Calibri"/>
                <w:color w:val="18212B"/>
                <w:sz w:val="17"/>
              </w:rPr>
              <w:t>Provenance để kiểm chứng và trích dẫn.</w:t>
            </w:r>
          </w:p>
        </w:tc>
      </w:tr>
      <w:tr>
        <w:tc>
          <w:tcPr>
            <w:tcW w:type="dxa" w:w="16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Claim -&gt; Concept</w:t>
            </w:r>
          </w:p>
        </w:tc>
        <w:tc>
          <w:tcPr>
            <w:tcW w:type="dxa" w:w="30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SUBJECT / OBJECT / ABOUT</w:t>
            </w:r>
          </w:p>
        </w:tc>
        <w:tc>
          <w:tcPr>
            <w:tcW w:type="dxa" w:w="47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Biểu diễn claim liên quan nhiều concept mà không sao chép.</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Calibri"/>
                <w:color w:val="18212B"/>
                <w:sz w:val="17"/>
              </w:rPr>
              <w:t>Claim -&gt; Claim</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olor w:val="18212B"/>
                <w:sz w:val="17"/>
              </w:rPr>
              <w:t>SAME / REFINES / PREREQUISITE / CONFLICT</w:t>
            </w:r>
          </w:p>
        </w:tc>
        <w:tc>
          <w:tcPr>
            <w:tcW w:type="dxa" w:w="4760"/>
            <w:tcMar>
              <w:top w:w="80" w:type="dxa"/>
              <w:start w:w="120" w:type="dxa"/>
              <w:bottom w:w="80" w:type="dxa"/>
              <w:end w:w="120" w:type="dxa"/>
            </w:tcMar>
            <w:vAlign w:val="center"/>
          </w:tcPr>
          <w:p>
            <w:pPr>
              <w:spacing w:after="0" w:line="259" w:lineRule="auto"/>
            </w:pPr>
            <w:r>
              <w:rPr>
                <w:rFonts w:ascii="Calibri" w:hAnsi="Calibri" w:eastAsia="Calibri"/>
                <w:color w:val="18212B"/>
                <w:sz w:val="17"/>
              </w:rPr>
              <w:t>Chiều sâu xuyên level và bất đồng.</w:t>
            </w:r>
          </w:p>
        </w:tc>
      </w:tr>
      <w:tr>
        <w:tc>
          <w:tcPr>
            <w:tcW w:type="dxa" w:w="16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Concept -&gt; Concept</w:t>
            </w:r>
          </w:p>
        </w:tc>
        <w:tc>
          <w:tcPr>
            <w:tcW w:type="dxa" w:w="30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USES / CAUSES / PART_OF / ... + claim_id</w:t>
            </w:r>
          </w:p>
        </w:tc>
        <w:tc>
          <w:tcPr>
            <w:tcW w:type="dxa" w:w="47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Chiều ngang; level được suy ra từ claim làm evidence.</w:t>
            </w:r>
          </w:p>
        </w:tc>
      </w:tr>
    </w:tbl>
    <w:p>
      <w:pPr>
        <w:spacing w:after="0"/>
      </w:pPr>
    </w:p>
    <w:p>
      <w:pPr>
        <w:pStyle w:val="Heading2"/>
      </w:pPr>
      <w:r>
        <w:t>3.2. Phân rã Base/Delta</w:t>
      </w:r>
    </w:p>
    <w:p>
      <w:pPr/>
      <w:r>
        <w:rPr>
          <w:rFonts w:ascii="Calibri" w:hAnsi="Calibri" w:eastAsia="Calibri"/>
          <w:color w:val="18212B"/>
          <w:sz w:val="22"/>
        </w:rPr>
        <w:t>Với concept c, hệ thống so sánh claims thuộc các level khác nhau. Các claim tương đương về nghĩa được hợp nhất thành một equivalence class. Nếu class có evidence ở mọi level đang xét, nó thuộc phần chung B_c. Claim không tương đương với B_c thuộc delta của level tương ứng. Quan hệ sâu hơn không bị gộp: claim nâng cao được giữ riêng và nối REFINES tới claim cơ bản.</w:t>
      </w:r>
    </w:p>
    <w:p>
      <w:pPr>
        <w:spacing w:before="80" w:after="160"/>
        <w:jc w:val="center"/>
      </w:pPr>
      <w:r>
        <w:rPr>
          <w:rFonts w:ascii="Cambria Math" w:hAnsi="Cambria Math" w:eastAsia="Cambria Math"/>
          <w:i/>
          <w:color w:val="0B2545"/>
          <w:sz w:val="23"/>
        </w:rPr>
        <w:t>B_c = { [q]≡ : support([q]≡, D_l) = 1 với mọi l ∈ L_c }</w:t>
      </w:r>
    </w:p>
    <w:p>
      <w:pPr>
        <w:spacing w:before="80" w:after="160"/>
        <w:jc w:val="center"/>
      </w:pPr>
      <w:r>
        <w:rPr>
          <w:rFonts w:ascii="Cambria Math" w:hAnsi="Cambria Math" w:eastAsia="Cambria Math"/>
          <w:i/>
          <w:color w:val="0B2545"/>
          <w:sz w:val="23"/>
        </w:rPr>
        <w:t>Δ_{c,l} = { q ∈ A_{c,l} : không tồn tại b ∈ B_c sao cho q ≡ b }</w:t>
      </w:r>
    </w:p>
    <w:p>
      <w:pPr>
        <w:spacing w:before="80" w:after="160"/>
        <w:jc w:val="center"/>
      </w:pPr>
      <w:r>
        <w:rPr>
          <w:rFonts w:ascii="Cambria Math" w:hAnsi="Cambria Math" w:eastAsia="Cambria Math"/>
          <w:i/>
          <w:color w:val="0B2545"/>
          <w:sz w:val="23"/>
        </w:rPr>
        <w:t>K(c,l) = B_c ∪ Δ_{c,l}</w:t>
      </w:r>
    </w:p>
    <w:p>
      <w:pPr/>
      <w:r>
        <w:rPr>
          <w:rFonts w:ascii="Calibri" w:hAnsi="Calibri" w:eastAsia="Calibri"/>
          <w:color w:val="18212B"/>
          <w:sz w:val="22"/>
        </w:rPr>
        <w:t>Ví dụ, claim 'quang hợp sử dụng ánh sáng' có evidence ở lớp 9 và 12 nên thuộc B_quang_hợp. Claim 'pha sáng tạo ATP và NADPH' chỉ có ở lớp 12 nên thuộc Δ_quang_hợp,12 và có cạnh REFINES tới claim cơ bản. Nếu hai sách diễn đạt khác nhau nhưng không tương đương hoàn toàn, hệ thống không ép merge; nó giữ cả hai và gắn RELATED hoặc CONFLICT tùy evidence.</w:t>
      </w:r>
    </w:p>
    <w:p>
      <w:pPr>
        <w:pStyle w:val="Heading2"/>
      </w:pPr>
      <w:r>
        <w:t>3.3. Pipeline xây graph</w:t>
      </w:r>
    </w:p>
    <w:p>
      <w:pPr>
        <w:pStyle w:val="ListNumber"/>
        <w:spacing w:after="80" w:line="290" w:lineRule="auto"/>
        <w:ind w:left="540" w:hanging="279"/>
      </w:pPr>
      <w:r>
        <w:rPr>
          <w:rFonts w:ascii="Calibri" w:hAnsi="Calibri" w:eastAsia="Calibri"/>
          <w:color w:val="18212B"/>
          <w:sz w:val="22"/>
        </w:rPr>
        <w:t>Parse Markdown theo heading và section; lưu đường dẫn, dòng bắt đầu/kết thúc và level.</w:t>
      </w:r>
    </w:p>
    <w:p>
      <w:pPr>
        <w:pStyle w:val="ListNumber"/>
        <w:spacing w:after="80" w:line="290" w:lineRule="auto"/>
        <w:ind w:left="540" w:hanging="279"/>
      </w:pPr>
      <w:r>
        <w:rPr>
          <w:rFonts w:ascii="Calibri" w:hAnsi="Calibri" w:eastAsia="Calibri"/>
          <w:color w:val="18212B"/>
          <w:sz w:val="22"/>
        </w:rPr>
        <w:t>Mỗi level agent trích atomic claims, concept roles, semantic relation và evidence; bước này chạy độc lập và song song.</w:t>
      </w:r>
    </w:p>
    <w:p>
      <w:pPr>
        <w:pStyle w:val="ListNumber"/>
        <w:spacing w:after="80" w:line="290" w:lineRule="auto"/>
        <w:ind w:left="540" w:hanging="279"/>
      </w:pPr>
      <w:r>
        <w:rPr>
          <w:rFonts w:ascii="Calibri" w:hAnsi="Calibri" w:eastAsia="Calibri"/>
          <w:color w:val="18212B"/>
          <w:sz w:val="22"/>
        </w:rPr>
        <w:t>Entity resolver chuẩn hóa aliases nhưng giữ nguyên source-specific labels để audit.</w:t>
      </w:r>
    </w:p>
    <w:p>
      <w:pPr>
        <w:pStyle w:val="ListNumber"/>
        <w:spacing w:after="80" w:line="290" w:lineRule="auto"/>
        <w:ind w:left="540" w:hanging="279"/>
      </w:pPr>
      <w:r>
        <w:rPr>
          <w:rFonts w:ascii="Calibri" w:hAnsi="Calibri" w:eastAsia="Calibri"/>
          <w:color w:val="18212B"/>
          <w:sz w:val="22"/>
        </w:rPr>
        <w:t>Candidate aligner dùng exact match, embedding và neighborhood overlap để chọn top-k cặp xuyên level; không gửi mọi cặp cho LLM.</w:t>
      </w:r>
    </w:p>
    <w:p>
      <w:pPr>
        <w:pStyle w:val="ListNumber"/>
        <w:spacing w:after="80" w:line="290" w:lineRule="auto"/>
        <w:ind w:left="540" w:hanging="279"/>
      </w:pPr>
      <w:r>
        <w:rPr>
          <w:rFonts w:ascii="Calibri" w:hAnsi="Calibri" w:eastAsia="Calibri"/>
          <w:color w:val="18212B"/>
          <w:sz w:val="22"/>
        </w:rPr>
        <w:t>Hai level agents đánh giá cặp theo local evidence và đề xuất SAME, REFINES, PREREQUISITE, RELATED, CONFLICT hoặc UNRELATED kèm confidence.</w:t>
      </w:r>
    </w:p>
    <w:p>
      <w:pPr>
        <w:pStyle w:val="ListNumber"/>
        <w:spacing w:after="80" w:line="290" w:lineRule="auto"/>
        <w:ind w:left="540" w:hanging="279"/>
      </w:pPr>
      <w:r>
        <w:rPr>
          <w:rFonts w:ascii="Calibri" w:hAnsi="Calibri" w:eastAsia="Calibri"/>
          <w:color w:val="18212B"/>
          <w:sz w:val="22"/>
        </w:rPr>
        <w:t>Coordinator áp dụng consensus rules. Cặp đồng thuận, evidence rõ được chấp nhận; cặp bất đồng hoặc confidence thấp mới escalate tới verifier mạnh hoặc người.</w:t>
      </w:r>
    </w:p>
    <w:p>
      <w:pPr>
        <w:pStyle w:val="ListNumber"/>
        <w:spacing w:after="80" w:line="290" w:lineRule="auto"/>
        <w:ind w:left="540" w:hanging="279"/>
      </w:pPr>
      <w:r>
        <w:rPr>
          <w:rFonts w:ascii="Calibri" w:hAnsi="Calibri" w:eastAsia="Calibri"/>
          <w:color w:val="18212B"/>
          <w:sz w:val="22"/>
        </w:rPr>
        <w:t>Graph assembler tạo B_c, Δ_{c,l}, depth edges, horizontal edges và provenance; validator kiểm tra duplicate, orphan claims, cycle và missing evidence.</w:t>
      </w:r>
    </w:p>
    <w:p>
      <w:r>
        <w:drawing>
          <wp:inline xmlns:a="http://schemas.openxmlformats.org/drawingml/2006/main" xmlns:pic="http://schemas.openxmlformats.org/drawingml/2006/picture">
            <wp:extent cx="5760720" cy="2976372"/>
            <wp:docPr id="1" name="Picture 1" descr="Pipeline CurriculumDelta từ hai agent theo lớp qua candidate alignment và consensus để tạo Base và Delta claims" title="CurriculumDelta graph construction pipeline"/>
            <wp:cNvGraphicFramePr>
              <a:graphicFrameLocks noChangeAspect="1"/>
            </wp:cNvGraphicFramePr>
            <a:graphic>
              <a:graphicData uri="http://schemas.openxmlformats.org/drawingml/2006/picture">
                <pic:pic>
                  <pic:nvPicPr>
                    <pic:cNvPr id="0" name="curriculumdelta_pipeline.png"/>
                    <pic:cNvPicPr/>
                  </pic:nvPicPr>
                  <pic:blipFill>
                    <a:blip r:embed="rId11"/>
                    <a:stretch>
                      <a:fillRect/>
                    </a:stretch>
                  </pic:blipFill>
                  <pic:spPr>
                    <a:xfrm>
                      <a:off x="0" y="0"/>
                      <a:ext cx="5760720" cy="2976372"/>
                    </a:xfrm>
                    <a:prstGeom prst="rect"/>
                  </pic:spPr>
                </pic:pic>
              </a:graphicData>
            </a:graphic>
          </wp:inline>
        </w:drawing>
      </w:r>
    </w:p>
    <w:p>
      <w:pPr>
        <w:pStyle w:val="CaptionCustom"/>
      </w:pPr>
      <w:r>
        <w:t>Hình 1. Pipeline CurriculumDelta: local autonomy, selective coordination và Base/Delta graph.</w:t>
      </w:r>
    </w:p>
    <w:p>
      <w:pPr>
        <w:pStyle w:val="Heading2"/>
      </w:pPr>
      <w:r>
        <w:t>3.4. Budgeted Multi-Agent Consensus (BMAC)</w:t>
      </w:r>
    </w:p>
    <w:p>
      <w:pPr/>
      <w:r>
        <w:rPr>
          <w:rFonts w:ascii="Calibri" w:hAnsi="Calibri" w:eastAsia="Calibri"/>
          <w:color w:val="18212B"/>
          <w:sz w:val="22"/>
        </w:rPr>
        <w:t>AAMAS contribution không nằm ở việc đặt bốn prompt thành bốn 'agent'. Mỗi level agent phải có state riêng, evidence riêng và quyền phản đối merge làm mất fidelity của level mình. Coordinator giải quyết một bài toán đồng thuận có ngân sách: giảm duplicate và chi phí, nhưng không được hạ evidence coverage hoặc tăng lỗi level.</w:t>
      </w:r>
    </w:p>
    <w:p>
      <w:pPr>
        <w:spacing w:before="80" w:after="160"/>
        <w:jc w:val="center"/>
      </w:pPr>
      <w:r>
        <w:rPr>
          <w:rFonts w:ascii="Cambria Math" w:hAnsi="Cambria Math" w:eastAsia="Cambria Math"/>
          <w:i/>
          <w:color w:val="0B2545"/>
          <w:sz w:val="23"/>
        </w:rPr>
        <w:t>min_G  Cost(G) + λ_d·Dup(G) + λ_l·Leak(G)  subject to  EvidenceCoverage(G) ≥ η</w:t>
      </w:r>
    </w:p>
    <w:p>
      <w:pPr/>
      <w:r>
        <w:rPr>
          <w:rFonts w:ascii="Calibri" w:hAnsi="Calibri" w:eastAsia="Calibri"/>
          <w:color w:val="18212B"/>
          <w:sz w:val="22"/>
        </w:rPr>
        <w:t>Protocol không cần RL. Một policy threshold cố định hoặc được tune trên development set quyết định ACCEPT, VERIFY hoặc HUMAN-REVIEW. Log của mỗi quyết định gồm đề xuất của từng agent, evidence, confidence, token cost và quyết định cuối. Đây vừa là cơ chế coordination vừa tạo trace để debugging và phân tích failure.</w:t>
      </w:r>
    </w:p>
    <w:tbl>
      <w:tblPr>
        <w:tblW w:type="dxa" w:w="9360"/>
        <w:jc w:val="left"/>
        <w:tblLayout w:type="fixed"/>
        <w:tblLook w:firstColumn="1" w:firstRow="1" w:lastColumn="0" w:lastRow="0" w:noHBand="0" w:noVBand="1" w:val="04A0"/>
        <w:tblInd w:w="120" w:type="dxa"/>
        <w:tblBorders>
          <w:top w:val="single" w:sz="8" w:color="9B1C1C"/>
          <w:left w:val="single" w:sz="8" w:color="9B1C1C"/>
          <w:bottom w:val="single" w:sz="8" w:color="9B1C1C"/>
          <w:right w:val="single" w:sz="8" w:color="9B1C1C"/>
          <w:insideH w:val="single" w:sz="8" w:color="9B1C1C"/>
          <w:insideV w:val="single" w:sz="8" w:color="9B1C1C"/>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eastAsia="Calibri"/>
                <w:b/>
                <w:color w:val="9B1C1C"/>
                <w:sz w:val="19"/>
              </w:rPr>
              <w:t xml:space="preserve">ABLATION BẮT BUỘC  </w:t>
            </w:r>
            <w:r>
              <w:rPr>
                <w:rFonts w:ascii="Calibri" w:hAnsi="Calibri" w:eastAsia="Calibri"/>
                <w:color w:val="18212B"/>
                <w:sz w:val="21"/>
              </w:rPr>
              <w:t>Phải so sánh BMAC với single-agent extraction, CogNet-style sequential roles, all-pairs strong verifier và no-consensus embedding merge. Nếu không, reviewers có thể kết luận multi-agent chỉ là engineering decoration.</w:t>
            </w:r>
          </w:p>
        </w:tc>
      </w:tr>
    </w:tbl>
    <w:p>
      <w:pPr>
        <w:spacing w:after="0"/>
      </w:pPr>
    </w:p>
    <w:p>
      <w:pPr>
        <w:pStyle w:val="Heading1"/>
      </w:pPr>
      <w:r>
        <w:t>4. Sau graph construction: retrieval và generation</w:t>
      </w:r>
    </w:p>
    <w:p>
      <w:pPr/>
      <w:r>
        <w:rPr>
          <w:rFonts w:ascii="Calibri" w:hAnsi="Calibri" w:eastAsia="Calibri"/>
          <w:color w:val="18212B"/>
          <w:sz w:val="22"/>
        </w:rPr>
        <w:t>Graph construction chỉ tạo index. Để chứng minh utility, paper cần một retrieval policy khai thác đúng cấu trúc Base/Delta. Query agent nhận câu hỏi q, target level l và task intent. Nó tìm seed concepts, lấy B_c, cộng Δ_{c,l}, rồi mở rộng có kiểm soát qua horizontal edges và depth edges. Một leakage guard chặn claims chỉ hợp lệ ở level cao hơn, trừ khi câu hỏi yêu cầu so sánh xuyên lớp.</w:t>
      </w:r>
    </w:p>
    <w:p>
      <w:pPr>
        <w:spacing w:before="80" w:after="160"/>
        <w:jc w:val="center"/>
      </w:pPr>
      <w:r>
        <w:rPr>
          <w:rFonts w:ascii="Cambria Math" w:hAnsi="Cambria Math" w:eastAsia="Cambria Math"/>
          <w:i/>
          <w:color w:val="0B2545"/>
          <w:sz w:val="23"/>
        </w:rPr>
        <w:t>Score(v|q,l) = α·Semantic(q,v) + β·GraphProximity(v) + γ·LevelFit(v,l) - δ·LeakRisk(v,l)</w:t>
      </w:r>
    </w:p>
    <w:p>
      <w:pPr>
        <w:spacing w:before="80" w:after="160"/>
        <w:jc w:val="center"/>
      </w:pPr>
      <w:r>
        <w:rPr>
          <w:rFonts w:ascii="Cambria Math" w:hAnsi="Cambria Math" w:eastAsia="Cambria Math"/>
          <w:i/>
          <w:color w:val="0B2545"/>
          <w:sz w:val="23"/>
        </w:rPr>
        <w:t>S* = argmax_{S: tokens(S)≤B_q} Σ_{v∈S} Score(v|q,l) - μ·Redundancy(S)</w:t>
      </w:r>
    </w:p>
    <w:p>
      <w:pPr>
        <w:pStyle w:val="ListNumber"/>
        <w:spacing w:after="80" w:line="290" w:lineRule="auto"/>
        <w:ind w:left="540" w:hanging="279"/>
      </w:pPr>
      <w:r>
        <w:rPr>
          <w:rFonts w:ascii="Calibri" w:hAnsi="Calibri" w:eastAsia="Calibri"/>
          <w:color w:val="18212B"/>
          <w:sz w:val="22"/>
        </w:rPr>
        <w:t>Query understanding: dự đoán concept, level và intent (factual, compare, prerequisite, transfer).</w:t>
      </w:r>
    </w:p>
    <w:p>
      <w:pPr>
        <w:pStyle w:val="ListNumber"/>
        <w:spacing w:after="80" w:line="290" w:lineRule="auto"/>
        <w:ind w:left="540" w:hanging="279"/>
      </w:pPr>
      <w:r>
        <w:rPr>
          <w:rFonts w:ascii="Calibri" w:hAnsi="Calibri" w:eastAsia="Calibri"/>
          <w:color w:val="18212B"/>
          <w:sz w:val="22"/>
        </w:rPr>
        <w:t>Seed retrieval: hybrid BM25/embedding trên claims, sau đó map vào graph.</w:t>
      </w:r>
    </w:p>
    <w:p>
      <w:pPr>
        <w:pStyle w:val="ListNumber"/>
        <w:spacing w:after="80" w:line="290" w:lineRule="auto"/>
        <w:ind w:left="540" w:hanging="279"/>
      </w:pPr>
      <w:r>
        <w:rPr>
          <w:rFonts w:ascii="Calibri" w:hAnsi="Calibri" w:eastAsia="Calibri"/>
          <w:color w:val="18212B"/>
          <w:sz w:val="22"/>
        </w:rPr>
        <w:t>Constrained traversal: BASE + đúng DELTA; lấy neighbor ngang hoặc REFINES/PREREQUISITE theo intent.</w:t>
      </w:r>
    </w:p>
    <w:p>
      <w:pPr>
        <w:pStyle w:val="ListNumber"/>
        <w:spacing w:after="80" w:line="290" w:lineRule="auto"/>
        <w:ind w:left="540" w:hanging="279"/>
      </w:pPr>
      <w:r>
        <w:rPr>
          <w:rFonts w:ascii="Calibri" w:hAnsi="Calibri" w:eastAsia="Calibri"/>
          <w:color w:val="18212B"/>
          <w:sz w:val="22"/>
        </w:rPr>
        <w:t>Budgeted context packing: ưu tiên evidence đa dạng, bỏ claims lặp, giữ source citations.</w:t>
      </w:r>
    </w:p>
    <w:p>
      <w:pPr>
        <w:pStyle w:val="ListNumber"/>
        <w:spacing w:after="80" w:line="290" w:lineRule="auto"/>
        <w:ind w:left="540" w:hanging="279"/>
      </w:pPr>
      <w:r>
        <w:rPr>
          <w:rFonts w:ascii="Calibri" w:hAnsi="Calibri" w:eastAsia="Calibri"/>
          <w:color w:val="18212B"/>
          <w:sz w:val="22"/>
        </w:rPr>
        <w:t>Answer generation: cùng một answer model và prompt cho mọi baseline để cô lập ảnh hưởng của graph/retrieval.</w:t>
      </w:r>
    </w:p>
    <w:p>
      <w:pPr>
        <w:pStyle w:val="ListNumber"/>
        <w:spacing w:after="80" w:line="290" w:lineRule="auto"/>
        <w:ind w:left="540" w:hanging="279"/>
      </w:pPr>
      <w:r>
        <w:rPr>
          <w:rFonts w:ascii="Calibri" w:hAnsi="Calibri" w:eastAsia="Calibri"/>
          <w:color w:val="18212B"/>
          <w:sz w:val="22"/>
        </w:rPr>
        <w:t>Answer verification: kiểm tra từng generated claim có support trong retrieved evidence và có vượt level hay không.</w:t>
      </w:r>
    </w:p>
    <w:p>
      <w:pPr/>
      <w:r>
        <w:rPr>
          <w:rFonts w:ascii="Calibri" w:hAnsi="Calibri" w:eastAsia="Calibri"/>
          <w:color w:val="18212B"/>
          <w:sz w:val="22"/>
        </w:rPr>
        <w:t>Ứng dụng tutoring có thể được thêm sau khi retrieval đã ổn: planner agent chọn review, extend hoặc compare dựa trên student model. Tuy nhiên, để kịp AAMAS 2027, tutoring dialogue nên là secondary experiment; contribution chính phải là construction/coordination/retrieval.</w:t>
      </w:r>
    </w:p>
    <w:p>
      <w:pPr>
        <w:pStyle w:val="Heading1"/>
      </w:pPr>
      <w:r>
        <w:t>5. Làm thế nào để hợp AAMAS 2027</w:t>
      </w:r>
    </w:p>
    <w:p>
      <w:pPr/>
      <w:r>
        <w:rPr>
          <w:rFonts w:ascii="Calibri" w:hAnsi="Calibri" w:eastAsia="Calibri"/>
          <w:color w:val="18212B"/>
          <w:sz w:val="22"/>
        </w:rPr>
        <w:t>AAMAS 2027 có area Generative and Agentic AI (GAAI) bao gồm orchestration, interaction protocols, coordination/negotiation, benchmarks và agentic applications in education; đồng thời cảnh báo generic prompt engineering hoặc task không thực sự về agents có thể out of scope [14]. Vì vậy, paper nên nhấn vào local autonomy, disagreement, consensus protocol, budgeted escalation và measurable collective behavior - không chỉ nói 'hệ thống gồm nhiều agent'.</w:t>
      </w:r>
    </w:p>
    <w:tbl>
      <w:tblPr>
        <w:tblW w:type="dxa" w:w="9360"/>
        <w:tblLayout w:type="fixed"/>
        <w:tblLook w:firstColumn="1" w:firstRow="1" w:lastColumn="0" w:lastRow="0" w:noHBand="0" w:noVBand="1" w:val="04A0"/>
        <w:jc w:val="left"/>
        <w:tblInd w:w="120" w:type="dxa"/>
        <w:tblBorders>
          <w:top w:val="single" w:sz="5" w:color="CCD4DD"/>
          <w:left w:val="single" w:sz="5" w:color="CCD4DD"/>
          <w:bottom w:val="single" w:sz="5" w:color="CCD4DD"/>
          <w:right w:val="single" w:sz="5" w:color="CCD4DD"/>
          <w:insideH w:val="single" w:sz="5" w:color="CCD4DD"/>
          <w:insideV w:val="single" w:sz="5" w:color="CCD4DD"/>
        </w:tblBorders>
      </w:tblPr>
      <w:tblGrid>
        <w:gridCol w:w="1750"/>
        <w:gridCol w:w="3400"/>
        <w:gridCol w:w="4210"/>
      </w:tblGrid>
      <w:tr>
        <w:trPr>
          <w:tblHeader w:val="true"/>
        </w:trPr>
        <w:tc>
          <w:tcPr>
            <w:tcW w:type="dxa" w:w="175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Định vị</w:t>
            </w:r>
          </w:p>
        </w:tc>
        <w:tc>
          <w:tcPr>
            <w:tcW w:type="dxa" w:w="34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Khi nào phù hợp</w:t>
            </w:r>
          </w:p>
        </w:tc>
        <w:tc>
          <w:tcPr>
            <w:tcW w:type="dxa" w:w="421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Paper phải chứng minh</w:t>
            </w:r>
          </w:p>
        </w:tc>
      </w:tr>
      <w:tr>
        <w:tc>
          <w:tcPr>
            <w:tcW w:type="dxa" w:w="1750"/>
            <w:tcMar>
              <w:top w:w="80" w:type="dxa"/>
              <w:start w:w="120" w:type="dxa"/>
              <w:bottom w:w="80" w:type="dxa"/>
              <w:end w:w="120" w:type="dxa"/>
            </w:tcMar>
            <w:vAlign w:val="center"/>
          </w:tcPr>
          <w:p>
            <w:pPr>
              <w:spacing w:after="0" w:line="259" w:lineRule="auto"/>
            </w:pPr>
            <w:r>
              <w:rPr>
                <w:rFonts w:ascii="Calibri" w:hAnsi="Calibri" w:eastAsia="Calibri"/>
                <w:color w:val="18212B"/>
                <w:sz w:val="17"/>
              </w:rPr>
              <w:t>GAAI - khuyến nghị</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olor w:val="18212B"/>
                <w:sz w:val="17"/>
              </w:rPr>
              <w:t>Protocol agent và budgeted coordination là contribution trung tâm.</w:t>
            </w:r>
          </w:p>
        </w:tc>
        <w:tc>
          <w:tcPr>
            <w:tcW w:type="dxa" w:w="4210"/>
            <w:tcMar>
              <w:top w:w="80" w:type="dxa"/>
              <w:start w:w="120" w:type="dxa"/>
              <w:bottom w:w="80" w:type="dxa"/>
              <w:end w:w="120" w:type="dxa"/>
            </w:tcMar>
            <w:vAlign w:val="center"/>
          </w:tcPr>
          <w:p>
            <w:pPr>
              <w:spacing w:after="0" w:line="259" w:lineRule="auto"/>
            </w:pPr>
            <w:r>
              <w:rPr>
                <w:rFonts w:ascii="Calibri" w:hAnsi="Calibri" w:eastAsia="Calibri"/>
                <w:color w:val="18212B"/>
                <w:sz w:val="17"/>
              </w:rPr>
              <w:t>Multi-agent &gt; single-agent tại matched cost; disagreement resolution; traceability; failure recovery.</w:t>
            </w:r>
          </w:p>
        </w:tc>
      </w:tr>
      <w:tr>
        <w:tc>
          <w:tcPr>
            <w:tcW w:type="dxa" w:w="175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RR - phương án hai</w:t>
            </w:r>
          </w:p>
        </w:tc>
        <w:tc>
          <w:tcPr>
            <w:tcW w:type="dxa" w:w="34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Base/Delta formalism và reasoning framework quan trọng hơn orchestration.</w:t>
            </w:r>
          </w:p>
        </w:tc>
        <w:tc>
          <w:tcPr>
            <w:tcW w:type="dxa" w:w="421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Representation rõ, inference rules, consistency properties và graph reasoning gains.</w:t>
            </w:r>
          </w:p>
        </w:tc>
      </w:tr>
      <w:tr>
        <w:tc>
          <w:tcPr>
            <w:tcW w:type="dxa" w:w="1750"/>
            <w:tcMar>
              <w:top w:w="80" w:type="dxa"/>
              <w:start w:w="120" w:type="dxa"/>
              <w:bottom w:w="80" w:type="dxa"/>
              <w:end w:w="120" w:type="dxa"/>
            </w:tcMar>
            <w:vAlign w:val="center"/>
          </w:tcPr>
          <w:p>
            <w:pPr>
              <w:spacing w:after="0" w:line="259" w:lineRule="auto"/>
            </w:pPr>
            <w:r>
              <w:rPr>
                <w:rFonts w:ascii="Calibri" w:hAnsi="Calibri" w:eastAsia="Calibri"/>
                <w:color w:val="18212B"/>
                <w:sz w:val="17"/>
              </w:rPr>
              <w:t>IASI - chỉ khi có deployment</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olor w:val="18212B"/>
                <w:sz w:val="17"/>
              </w:rPr>
              <w:t>Có prototype thực tế và đánh giá với giáo viên/học sinh.</w:t>
            </w:r>
          </w:p>
        </w:tc>
        <w:tc>
          <w:tcPr>
            <w:tcW w:type="dxa" w:w="4210"/>
            <w:tcMar>
              <w:top w:w="80" w:type="dxa"/>
              <w:start w:w="120" w:type="dxa"/>
              <w:bottom w:w="80" w:type="dxa"/>
              <w:end w:w="120" w:type="dxa"/>
            </w:tcMar>
            <w:vAlign w:val="center"/>
          </w:tcPr>
          <w:p>
            <w:pPr>
              <w:spacing w:after="0" w:line="259" w:lineRule="auto"/>
            </w:pPr>
            <w:r>
              <w:rPr>
                <w:rFonts w:ascii="Calibri" w:hAnsi="Calibri" w:eastAsia="Calibri"/>
                <w:color w:val="18212B"/>
                <w:sz w:val="17"/>
              </w:rPr>
              <w:t>Vai trò agents, stakeholder evidence, usability và measurable impact.</w:t>
            </w:r>
          </w:p>
        </w:tc>
      </w:tr>
    </w:tbl>
    <w:p>
      <w:pPr>
        <w:spacing w:after="0"/>
      </w:pPr>
    </w:p>
    <w:p>
      <w:pPr/>
      <w:r>
        <w:rPr>
          <w:rFonts w:ascii="Calibri" w:hAnsi="Calibri" w:eastAsia="Calibri"/>
          <w:color w:val="18212B"/>
          <w:sz w:val="22"/>
        </w:rPr>
        <w:t>Ba thay đổi bắt buộc để tránh desk-reject vì lệch scope:</w:t>
      </w:r>
    </w:p>
    <w:p>
      <w:pPr>
        <w:pStyle w:val="ListBullet"/>
        <w:spacing w:after="80" w:line="290" w:lineRule="auto"/>
        <w:ind w:left="540" w:hanging="279"/>
      </w:pPr>
      <w:r>
        <w:rPr>
          <w:rFonts w:ascii="Calibri" w:hAnsi="Calibri" w:eastAsia="Calibri"/>
          <w:color w:val="18212B"/>
          <w:sz w:val="22"/>
        </w:rPr>
        <w:t>Formalize protocol: message types PROPOSE, CHALLENGE, SUPPORT, DEFER; acceptance rule và budget rule phải được viết như thuật toán.</w:t>
      </w:r>
    </w:p>
    <w:p>
      <w:pPr>
        <w:pStyle w:val="ListBullet"/>
        <w:spacing w:after="80" w:line="290" w:lineRule="auto"/>
        <w:ind w:left="540" w:hanging="279"/>
      </w:pPr>
      <w:r>
        <w:rPr>
          <w:rFonts w:ascii="Calibri" w:hAnsi="Calibri" w:eastAsia="Calibri"/>
          <w:color w:val="18212B"/>
          <w:sz w:val="22"/>
        </w:rPr>
        <w:t>Evaluate interaction: report agreement rate, escalation rate, conflict-resolution accuracy, communication tokens và robustness khi một agent sai.</w:t>
      </w:r>
    </w:p>
    <w:p>
      <w:pPr>
        <w:pStyle w:val="ListBullet"/>
        <w:spacing w:after="80" w:line="290" w:lineRule="auto"/>
        <w:ind w:left="540" w:hanging="279"/>
      </w:pPr>
      <w:r>
        <w:rPr>
          <w:rFonts w:ascii="Calibri" w:hAnsi="Calibri" w:eastAsia="Calibri"/>
          <w:color w:val="18212B"/>
          <w:sz w:val="22"/>
        </w:rPr>
        <w:t>Matched-budget experiments: so sánh agent systems trong cùng token/dollar budget, không chỉ cùng model.</w:t>
      </w:r>
    </w:p>
    <w:p>
      <w:pPr/>
      <w:r>
        <w:rPr>
          <w:rFonts w:ascii="Calibri" w:hAnsi="Calibri" w:eastAsia="Calibri"/>
          <w:color w:val="18212B"/>
          <w:sz w:val="22"/>
        </w:rPr>
        <w:t>Không cần RL. AAMAS không đồng nghĩa với reinforcement learning; official GAAI scope chấp nhận agent interaction protocols, coordination, orchestration, verification và education applications [14].</w:t>
      </w:r>
    </w:p>
    <w:p>
      <w:pPr>
        <w:pStyle w:val="Heading1"/>
      </w:pPr>
      <w:r>
        <w:t>6. Evaluation plan</w:t>
      </w:r>
    </w:p>
    <w:p>
      <w:pPr>
        <w:pStyle w:val="Heading2"/>
      </w:pPr>
      <w:r>
        <w:t>6.1. Benchmark chính: VietCurriculum-DeltaQA</w:t>
      </w:r>
    </w:p>
    <w:p>
      <w:pPr/>
      <w:r>
        <w:rPr>
          <w:rFonts w:ascii="Calibri" w:hAnsi="Calibri" w:eastAsia="Calibri"/>
          <w:color w:val="18212B"/>
          <w:sz w:val="22"/>
        </w:rPr>
        <w:t>Public QA sets hầu như không có paired questions cho cùng concept ở hai cấp học. Vì vậy, benchmark chính phải được xây trực tiếp từ giáo trình Việt Nam lớp 9 và 12. Mức tối thiểu khả thi cho deadline: hai môn có overlap rõ (Sinh học và Vật lý hoặc Hóa học), 600-800 câu hỏi, 2 giáo viên annotate độc lập và một vòng adjudication. Nếu nguồn lực đủ, mở rộng lên bốn môn và 1.200 câu.</w:t>
      </w:r>
    </w:p>
    <w:tbl>
      <w:tblPr>
        <w:tblW w:type="dxa" w:w="9360"/>
        <w:tblLayout w:type="fixed"/>
        <w:tblLook w:firstColumn="1" w:firstRow="1" w:lastColumn="0" w:lastRow="0" w:noHBand="0" w:noVBand="1" w:val="04A0"/>
        <w:jc w:val="left"/>
        <w:tblInd w:w="120" w:type="dxa"/>
        <w:tblBorders>
          <w:top w:val="single" w:sz="5" w:color="CCD4DD"/>
          <w:left w:val="single" w:sz="5" w:color="CCD4DD"/>
          <w:bottom w:val="single" w:sz="5" w:color="CCD4DD"/>
          <w:right w:val="single" w:sz="5" w:color="CCD4DD"/>
          <w:insideH w:val="single" w:sz="5" w:color="CCD4DD"/>
          <w:insideV w:val="single" w:sz="5" w:color="CCD4DD"/>
        </w:tblBorders>
      </w:tblPr>
      <w:tblGrid>
        <w:gridCol w:w="1900"/>
        <w:gridCol w:w="3200"/>
        <w:gridCol w:w="4260"/>
      </w:tblGrid>
      <w:tr>
        <w:trPr>
          <w:tblHeader w:val="true"/>
        </w:trPr>
        <w:tc>
          <w:tcPr>
            <w:tcW w:type="dxa" w:w="19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Nhóm câu hỏi</w:t>
            </w:r>
          </w:p>
        </w:tc>
        <w:tc>
          <w:tcPr>
            <w:tcW w:type="dxa" w:w="32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Mục tiêu</w:t>
            </w:r>
          </w:p>
        </w:tc>
        <w:tc>
          <w:tcPr>
            <w:tcW w:type="dxa" w:w="426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Gold annotation</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olor w:val="18212B"/>
                <w:sz w:val="17"/>
              </w:rPr>
              <w:t>Shared-core</w:t>
            </w:r>
          </w:p>
        </w:tc>
        <w:tc>
          <w:tcPr>
            <w:tcW w:type="dxa" w:w="3200"/>
            <w:tcMar>
              <w:top w:w="80" w:type="dxa"/>
              <w:start w:w="120" w:type="dxa"/>
              <w:bottom w:w="80" w:type="dxa"/>
              <w:end w:w="120" w:type="dxa"/>
            </w:tcMar>
            <w:vAlign w:val="center"/>
          </w:tcPr>
          <w:p>
            <w:pPr>
              <w:spacing w:after="0" w:line="259" w:lineRule="auto"/>
            </w:pPr>
            <w:r>
              <w:rPr>
                <w:rFonts w:ascii="Calibri" w:hAnsi="Calibri" w:eastAsia="Calibri"/>
                <w:color w:val="18212B"/>
                <w:sz w:val="17"/>
              </w:rPr>
              <w:t>Kiến thức chung của cùng concept ở cả hai lớp.</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olor w:val="18212B"/>
                <w:sz w:val="17"/>
              </w:rPr>
              <w:t>Gold claims, source spans, valid levels.</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Level-delta</w:t>
            </w:r>
          </w:p>
        </w:tc>
        <w:tc>
          <w:tcPr>
            <w:tcW w:type="dxa" w:w="32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Chi tiết chỉ phù hợp lớp 9 hoặc lớp 12.</w:t>
            </w:r>
          </w:p>
        </w:tc>
        <w:tc>
          <w:tcPr>
            <w:tcW w:type="dxa" w:w="42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Required delta claims; forbidden claims của level khác.</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olor w:val="18212B"/>
                <w:sz w:val="17"/>
              </w:rPr>
              <w:t>Vertical transition</w:t>
            </w:r>
          </w:p>
        </w:tc>
        <w:tc>
          <w:tcPr>
            <w:tcW w:type="dxa" w:w="3200"/>
            <w:tcMar>
              <w:top w:w="80" w:type="dxa"/>
              <w:start w:w="120" w:type="dxa"/>
              <w:bottom w:w="80" w:type="dxa"/>
              <w:end w:w="120" w:type="dxa"/>
            </w:tcMar>
            <w:vAlign w:val="center"/>
          </w:tcPr>
          <w:p>
            <w:pPr>
              <w:spacing w:after="0" w:line="259" w:lineRule="auto"/>
            </w:pPr>
            <w:r>
              <w:rPr>
                <w:rFonts w:ascii="Calibri" w:hAnsi="Calibri" w:eastAsia="Calibri"/>
                <w:color w:val="18212B"/>
                <w:sz w:val="17"/>
              </w:rPr>
              <w:t>Lớp 12 mở rộng/tinh chỉnh tiền đề lớp 9 thế nào.</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olor w:val="18212B"/>
                <w:sz w:val="17"/>
              </w:rPr>
              <w:t>REFINES/PREREQUISITE path và answer claims.</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Horizontal relation</w:t>
            </w:r>
          </w:p>
        </w:tc>
        <w:tc>
          <w:tcPr>
            <w:tcW w:type="dxa" w:w="32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Quan hệ với concept khác ở cùng level.</w:t>
            </w:r>
          </w:p>
        </w:tc>
        <w:tc>
          <w:tcPr>
            <w:tcW w:type="dxa" w:w="42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Gold concept/claim neighborhood.</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olor w:val="18212B"/>
                <w:sz w:val="17"/>
              </w:rPr>
              <w:t>Level-leakage stress</w:t>
            </w:r>
          </w:p>
        </w:tc>
        <w:tc>
          <w:tcPr>
            <w:tcW w:type="dxa" w:w="3200"/>
            <w:tcMar>
              <w:top w:w="80" w:type="dxa"/>
              <w:start w:w="120" w:type="dxa"/>
              <w:bottom w:w="80" w:type="dxa"/>
              <w:end w:w="120" w:type="dxa"/>
            </w:tcMar>
            <w:vAlign w:val="center"/>
          </w:tcPr>
          <w:p>
            <w:pPr>
              <w:spacing w:after="0" w:line="259" w:lineRule="auto"/>
            </w:pPr>
            <w:r>
              <w:rPr>
                <w:rFonts w:ascii="Calibri" w:hAnsi="Calibri" w:eastAsia="Calibri"/>
                <w:color w:val="18212B"/>
                <w:sz w:val="17"/>
              </w:rPr>
              <w:t>Cùng câu hỏi nhưng target level khác nhau.</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olor w:val="18212B"/>
                <w:sz w:val="17"/>
              </w:rPr>
              <w:t>Paired answers; advanced-claim blacklist cho level thấp.</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Conflict/variant</w:t>
            </w:r>
          </w:p>
        </w:tc>
        <w:tc>
          <w:tcPr>
            <w:tcW w:type="dxa" w:w="32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Hai sách dùng điều kiện, định nghĩa hoặc mức đơn giản hóa khác.</w:t>
            </w:r>
          </w:p>
        </w:tc>
        <w:tc>
          <w:tcPr>
            <w:tcW w:type="dxa" w:w="42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CONFLICT/CONTEXTUALIZED label và evidence.</w:t>
            </w:r>
          </w:p>
        </w:tc>
      </w:tr>
    </w:tbl>
    <w:p>
      <w:pPr>
        <w:spacing w:after="0"/>
      </w:pPr>
    </w:p>
    <w:p>
      <w:pPr/>
      <w:r>
        <w:rPr>
          <w:rFonts w:ascii="Calibri" w:hAnsi="Calibri" w:eastAsia="Calibri"/>
          <w:color w:val="18212B"/>
          <w:sz w:val="22"/>
        </w:rPr>
        <w:t>Split theo concept family, không random theo câu hỏi, để tránh cùng concept lọt vào development và test. Test set nên được khóa trước khi tune threshold. Ít nhất 20% mẫu cần human double-review; báo cáo Cohen/Fleiss kappa cho relation và level-validity labels.</w:t>
      </w:r>
    </w:p>
    <w:p>
      <w:pPr>
        <w:pStyle w:val="Heading2"/>
      </w:pPr>
      <w:r>
        <w:t>6.2. Các bộ dữ liệu bổ sung nên dùng</w:t>
      </w:r>
    </w:p>
    <w:tbl>
      <w:tblPr>
        <w:tblW w:type="dxa" w:w="9360"/>
        <w:tblLayout w:type="fixed"/>
        <w:tblLook w:firstColumn="1" w:firstRow="1" w:lastColumn="0" w:lastRow="0" w:noHBand="0" w:noVBand="1" w:val="04A0"/>
        <w:jc w:val="left"/>
        <w:tblInd w:w="120" w:type="dxa"/>
        <w:tblBorders>
          <w:top w:val="single" w:sz="5" w:color="CCD4DD"/>
          <w:left w:val="single" w:sz="5" w:color="CCD4DD"/>
          <w:bottom w:val="single" w:sz="5" w:color="CCD4DD"/>
          <w:right w:val="single" w:sz="5" w:color="CCD4DD"/>
          <w:insideH w:val="single" w:sz="5" w:color="CCD4DD"/>
          <w:insideV w:val="single" w:sz="5" w:color="CCD4DD"/>
        </w:tblBorders>
      </w:tblPr>
      <w:tblGrid>
        <w:gridCol w:w="1800"/>
        <w:gridCol w:w="3200"/>
        <w:gridCol w:w="4360"/>
      </w:tblGrid>
      <w:tr>
        <w:trPr>
          <w:tblHeader w:val="true"/>
        </w:trPr>
        <w:tc>
          <w:tcPr>
            <w:tcW w:type="dxa" w:w="18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Dataset</w:t>
            </w:r>
          </w:p>
        </w:tc>
        <w:tc>
          <w:tcPr>
            <w:tcW w:type="dxa" w:w="32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Dùng để đo</w:t>
            </w:r>
          </w:p>
        </w:tc>
        <w:tc>
          <w:tcPr>
            <w:tcW w:type="dxa" w:w="436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Vai trò trong paper</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8212B"/>
                <w:sz w:val="17"/>
              </w:rPr>
              <w:t>K12-Bench / K12-KGraph [1]</w:t>
            </w:r>
          </w:p>
        </w:tc>
        <w:tc>
          <w:tcPr>
            <w:tcW w:type="dxa" w:w="3200"/>
            <w:tcMar>
              <w:top w:w="80" w:type="dxa"/>
              <w:start w:w="120" w:type="dxa"/>
              <w:bottom w:w="80" w:type="dxa"/>
              <w:end w:w="120" w:type="dxa"/>
            </w:tcMar>
            <w:vAlign w:val="center"/>
          </w:tcPr>
          <w:p>
            <w:pPr>
              <w:spacing w:after="0" w:line="259" w:lineRule="auto"/>
            </w:pPr>
            <w:r>
              <w:rPr>
                <w:rFonts w:ascii="Calibri" w:hAnsi="Calibri" w:eastAsia="Calibri"/>
                <w:color w:val="18212B"/>
                <w:sz w:val="17"/>
              </w:rPr>
              <w:t>Ground, Prereq, Neighbor, Evidence, Locate; structural curriculum cognition.</w:t>
            </w:r>
          </w:p>
        </w:tc>
        <w:tc>
          <w:tcPr>
            <w:tcW w:type="dxa" w:w="4360"/>
            <w:tcMar>
              <w:top w:w="80" w:type="dxa"/>
              <w:start w:w="120" w:type="dxa"/>
              <w:bottom w:w="80" w:type="dxa"/>
              <w:end w:w="120" w:type="dxa"/>
            </w:tcMar>
            <w:vAlign w:val="center"/>
          </w:tcPr>
          <w:p>
            <w:pPr>
              <w:spacing w:after="0" w:line="259" w:lineRule="auto"/>
            </w:pPr>
            <w:r>
              <w:rPr>
                <w:rFonts w:ascii="Calibri" w:hAnsi="Calibri" w:eastAsia="Calibri"/>
                <w:color w:val="18212B"/>
                <w:sz w:val="17"/>
              </w:rPr>
              <w:t>Public cross-curriculum transfer. Thêm Delta và Leakage như hai task families mới; không so trực tiếp với closed-book scores nếu cung cấp graph context.</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VNHSGE [12]</w:t>
            </w:r>
          </w:p>
        </w:tc>
        <w:tc>
          <w:tcPr>
            <w:tcW w:type="dxa" w:w="32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Hơn 19.000 câu thi THPT Việt Nam trên 9 môn.</w:t>
            </w:r>
          </w:p>
        </w:tc>
        <w:tc>
          <w:tcPr>
            <w:tcW w:type="dxa" w:w="43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Downstream Vietnamese grade-12 QA; đo generalization nhưng không thay thế level-aware benchmark.</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8212B"/>
                <w:sz w:val="17"/>
              </w:rPr>
              <w:t>TQA [9]</w:t>
            </w:r>
          </w:p>
        </w:tc>
        <w:tc>
          <w:tcPr>
            <w:tcW w:type="dxa" w:w="3200"/>
            <w:tcMar>
              <w:top w:w="80" w:type="dxa"/>
              <w:start w:w="120" w:type="dxa"/>
              <w:bottom w:w="80" w:type="dxa"/>
              <w:end w:w="120" w:type="dxa"/>
            </w:tcMar>
            <w:vAlign w:val="center"/>
          </w:tcPr>
          <w:p>
            <w:pPr>
              <w:spacing w:after="0" w:line="259" w:lineRule="auto"/>
            </w:pPr>
            <w:r>
              <w:rPr>
                <w:rFonts w:ascii="Calibri" w:hAnsi="Calibri" w:eastAsia="Calibri"/>
                <w:color w:val="18212B"/>
                <w:sz w:val="17"/>
              </w:rPr>
              <w:t>1.076 bài học và 26.260 câu hỏi khoa học trung học, có text/diagram.</w:t>
            </w:r>
          </w:p>
        </w:tc>
        <w:tc>
          <w:tcPr>
            <w:tcW w:type="dxa" w:w="4360"/>
            <w:tcMar>
              <w:top w:w="80" w:type="dxa"/>
              <w:start w:w="120" w:type="dxa"/>
              <w:bottom w:w="80" w:type="dxa"/>
              <w:end w:w="120" w:type="dxa"/>
            </w:tcMar>
            <w:vAlign w:val="center"/>
          </w:tcPr>
          <w:p>
            <w:pPr>
              <w:spacing w:after="0" w:line="259" w:lineRule="auto"/>
            </w:pPr>
            <w:r>
              <w:rPr>
                <w:rFonts w:ascii="Calibri" w:hAnsi="Calibri" w:eastAsia="Calibri"/>
                <w:color w:val="18212B"/>
                <w:sz w:val="17"/>
              </w:rPr>
              <w:t>Textbook-grounded generality; dùng text-only subset cho paper đầu, multimodal là extension.</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OpenBookQA [10] + ARC [11]</w:t>
            </w:r>
          </w:p>
        </w:tc>
        <w:tc>
          <w:tcPr>
            <w:tcW w:type="dxa" w:w="32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Science QA, retrieval và multi-hop application.</w:t>
            </w:r>
          </w:p>
        </w:tc>
        <w:tc>
          <w:tcPr>
            <w:tcW w:type="dxa" w:w="43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Secondary robustness checks; không dùng làm bằng chứng chính cho grade calibration.</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8212B"/>
                <w:sz w:val="17"/>
              </w:rPr>
              <w:t>EViQA [13]</w:t>
            </w:r>
          </w:p>
        </w:tc>
        <w:tc>
          <w:tcPr>
            <w:tcW w:type="dxa" w:w="3200"/>
            <w:tcMar>
              <w:top w:w="80" w:type="dxa"/>
              <w:start w:w="120" w:type="dxa"/>
              <w:bottom w:w="80" w:type="dxa"/>
              <w:end w:w="120" w:type="dxa"/>
            </w:tcMar>
            <w:vAlign w:val="center"/>
          </w:tcPr>
          <w:p>
            <w:pPr>
              <w:spacing w:after="0" w:line="259" w:lineRule="auto"/>
            </w:pPr>
            <w:r>
              <w:rPr>
                <w:rFonts w:ascii="Calibri" w:hAnsi="Calibri" w:eastAsia="Calibri"/>
                <w:color w:val="18212B"/>
                <w:sz w:val="17"/>
              </w:rPr>
              <w:t>VQA giáo dục Việt Nam lớp 6-12, có supporting facts.</w:t>
            </w:r>
          </w:p>
        </w:tc>
        <w:tc>
          <w:tcPr>
            <w:tcW w:type="dxa" w:w="4360"/>
            <w:tcMar>
              <w:top w:w="80" w:type="dxa"/>
              <w:start w:w="120" w:type="dxa"/>
              <w:bottom w:w="80" w:type="dxa"/>
              <w:end w:w="120" w:type="dxa"/>
            </w:tcMar>
            <w:vAlign w:val="center"/>
          </w:tcPr>
          <w:p>
            <w:pPr>
              <w:spacing w:after="0" w:line="259" w:lineRule="auto"/>
            </w:pPr>
            <w:r>
              <w:rPr>
                <w:rFonts w:ascii="Calibri" w:hAnsi="Calibri" w:eastAsia="Calibri"/>
                <w:color w:val="18212B"/>
                <w:sz w:val="17"/>
              </w:rPr>
              <w:t>Optional multimodal extension nếu thời gian đủ; không đưa vào core scope trước deadline.</w:t>
            </w:r>
          </w:p>
        </w:tc>
      </w:tr>
    </w:tbl>
    <w:p>
      <w:pPr>
        <w:spacing w:after="0"/>
      </w:pPr>
    </w:p>
    <w:tbl>
      <w:tblPr>
        <w:tblW w:type="dxa" w:w="9360"/>
        <w:jc w:val="left"/>
        <w:tblLayout w:type="fixed"/>
        <w:tblLook w:firstColumn="1" w:firstRow="1" w:lastColumn="0" w:lastRow="0" w:noHBand="0" w:noVBand="1" w:val="04A0"/>
        <w:tblInd w:w="120" w:type="dxa"/>
        <w:tblBorders>
          <w:top w:val="single" w:sz="8" w:color="246B45"/>
          <w:left w:val="single" w:sz="8" w:color="246B45"/>
          <w:bottom w:val="single" w:sz="8" w:color="246B45"/>
          <w:right w:val="single" w:sz="8" w:color="246B45"/>
          <w:insideH w:val="single" w:sz="8" w:color="246B45"/>
          <w:insideV w:val="single" w:sz="8" w:color="246B45"/>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eastAsia="Calibri"/>
                <w:b/>
                <w:color w:val="246B45"/>
                <w:sz w:val="19"/>
              </w:rPr>
              <w:t xml:space="preserve">KHUYẾN NGHỊ SCOPE  </w:t>
            </w:r>
            <w:r>
              <w:rPr>
                <w:rFonts w:ascii="Calibri" w:hAnsi="Calibri" w:eastAsia="Calibri"/>
                <w:color w:val="18212B"/>
                <w:sz w:val="21"/>
              </w:rPr>
              <w:t>Main claim phải đứng trên VietCurriculum-DeltaQA + K12 transfer. VNHSGE/TQA/OpenBookQA/ARC chỉ chứng minh generality. Dùng quá nhiều benchmark nhưng không có gold level/delta sẽ làm loãng contribution.</w:t>
            </w:r>
          </w:p>
        </w:tc>
      </w:tr>
    </w:tbl>
    <w:p>
      <w:pPr>
        <w:spacing w:after="0"/>
      </w:pPr>
    </w:p>
    <w:p>
      <w:pPr>
        <w:pStyle w:val="Heading2"/>
      </w:pPr>
      <w:r>
        <w:t>6.3. Baselines</w:t>
      </w:r>
    </w:p>
    <w:tbl>
      <w:tblPr>
        <w:tblW w:type="dxa" w:w="9360"/>
        <w:tblLayout w:type="fixed"/>
        <w:tblLook w:firstColumn="1" w:firstRow="1" w:lastColumn="0" w:lastRow="0" w:noHBand="0" w:noVBand="1" w:val="04A0"/>
        <w:jc w:val="left"/>
        <w:tblInd w:w="120" w:type="dxa"/>
        <w:tblBorders>
          <w:top w:val="single" w:sz="5" w:color="CCD4DD"/>
          <w:left w:val="single" w:sz="5" w:color="CCD4DD"/>
          <w:bottom w:val="single" w:sz="5" w:color="CCD4DD"/>
          <w:right w:val="single" w:sz="5" w:color="CCD4DD"/>
          <w:insideH w:val="single" w:sz="5" w:color="CCD4DD"/>
          <w:insideV w:val="single" w:sz="5" w:color="CCD4DD"/>
        </w:tblBorders>
      </w:tblPr>
      <w:tblGrid>
        <w:gridCol w:w="700"/>
        <w:gridCol w:w="3400"/>
        <w:gridCol w:w="5260"/>
      </w:tblGrid>
      <w:tr>
        <w:trPr>
          <w:tblHeader w:val="true"/>
        </w:trPr>
        <w:tc>
          <w:tcPr>
            <w:tcW w:type="dxa" w:w="7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ID</w:t>
            </w:r>
          </w:p>
        </w:tc>
        <w:tc>
          <w:tcPr>
            <w:tcW w:type="dxa" w:w="34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Baseline</w:t>
            </w:r>
          </w:p>
        </w:tc>
        <w:tc>
          <w:tcPr>
            <w:tcW w:type="dxa" w:w="526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Điều baseline kiểm tra</w:t>
            </w:r>
          </w:p>
        </w:tc>
      </w:tr>
      <w:tr>
        <w:tc>
          <w:tcPr>
            <w:tcW w:type="dxa" w:w="700"/>
            <w:tcMar>
              <w:top w:w="80" w:type="dxa"/>
              <w:start w:w="120" w:type="dxa"/>
              <w:bottom w:w="80" w:type="dxa"/>
              <w:end w:w="120" w:type="dxa"/>
            </w:tcMar>
            <w:vAlign w:val="center"/>
          </w:tcPr>
          <w:p>
            <w:pPr>
              <w:spacing w:after="0" w:line="259" w:lineRule="auto"/>
            </w:pPr>
            <w:r>
              <w:rPr>
                <w:rFonts w:ascii="Calibri" w:hAnsi="Calibri" w:eastAsia="Calibri"/>
                <w:color w:val="18212B"/>
                <w:sz w:val="17"/>
              </w:rPr>
              <w:t>B0</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olor w:val="18212B"/>
                <w:sz w:val="17"/>
              </w:rPr>
              <w:t>LLM không retrieval</w:t>
            </w:r>
          </w:p>
        </w:tc>
        <w:tc>
          <w:tcPr>
            <w:tcW w:type="dxa" w:w="5260"/>
            <w:tcMar>
              <w:top w:w="80" w:type="dxa"/>
              <w:start w:w="120" w:type="dxa"/>
              <w:bottom w:w="80" w:type="dxa"/>
              <w:end w:w="120" w:type="dxa"/>
            </w:tcMar>
            <w:vAlign w:val="center"/>
          </w:tcPr>
          <w:p>
            <w:pPr>
              <w:spacing w:after="0" w:line="259" w:lineRule="auto"/>
            </w:pPr>
            <w:r>
              <w:rPr>
                <w:rFonts w:ascii="Calibri" w:hAnsi="Calibri" w:eastAsia="Calibri"/>
                <w:color w:val="18212B"/>
                <w:sz w:val="17"/>
              </w:rPr>
              <w:t>Độ khó của benchmark và kiến thức parametric.</w:t>
            </w:r>
          </w:p>
        </w:tc>
      </w:tr>
      <w:tr>
        <w:tc>
          <w:tcPr>
            <w:tcW w:type="dxa" w:w="7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B1</w:t>
            </w:r>
          </w:p>
        </w:tc>
        <w:tc>
          <w:tcPr>
            <w:tcW w:type="dxa" w:w="34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Vector RAG trên toàn bộ Markdown + metadata filter</w:t>
            </w:r>
          </w:p>
        </w:tc>
        <w:tc>
          <w:tcPr>
            <w:tcW w:type="dxa" w:w="52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Graph có thực sự cần thiết hay chỉ cần retrieval tốt.</w:t>
            </w:r>
          </w:p>
        </w:tc>
      </w:tr>
      <w:tr>
        <w:tc>
          <w:tcPr>
            <w:tcW w:type="dxa" w:w="700"/>
            <w:tcMar>
              <w:top w:w="80" w:type="dxa"/>
              <w:start w:w="120" w:type="dxa"/>
              <w:bottom w:w="80" w:type="dxa"/>
              <w:end w:w="120" w:type="dxa"/>
            </w:tcMar>
            <w:vAlign w:val="center"/>
          </w:tcPr>
          <w:p>
            <w:pPr>
              <w:spacing w:after="0" w:line="259" w:lineRule="auto"/>
            </w:pPr>
            <w:r>
              <w:rPr>
                <w:rFonts w:ascii="Calibri" w:hAnsi="Calibri" w:eastAsia="Calibri"/>
                <w:color w:val="18212B"/>
                <w:sz w:val="17"/>
              </w:rPr>
              <w:t>B2</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olor w:val="18212B"/>
                <w:sz w:val="17"/>
              </w:rPr>
              <w:t>Hai graph riêng biệt cho lớp 9 và 12</w:t>
            </w:r>
          </w:p>
        </w:tc>
        <w:tc>
          <w:tcPr>
            <w:tcW w:type="dxa" w:w="5260"/>
            <w:tcMar>
              <w:top w:w="80" w:type="dxa"/>
              <w:start w:w="120" w:type="dxa"/>
              <w:bottom w:w="80" w:type="dxa"/>
              <w:end w:w="120" w:type="dxa"/>
            </w:tcMar>
            <w:vAlign w:val="center"/>
          </w:tcPr>
          <w:p>
            <w:pPr>
              <w:spacing w:after="0" w:line="259" w:lineRule="auto"/>
            </w:pPr>
            <w:r>
              <w:rPr>
                <w:rFonts w:ascii="Calibri" w:hAnsi="Calibri" w:eastAsia="Calibri"/>
                <w:color w:val="18212B"/>
                <w:sz w:val="17"/>
              </w:rPr>
              <w:t>Baseline chính theo đề xuất của tác giả; mạnh về isolation nhưng yếu về cross-level reuse/transition.</w:t>
            </w:r>
          </w:p>
        </w:tc>
      </w:tr>
      <w:tr>
        <w:tc>
          <w:tcPr>
            <w:tcW w:type="dxa" w:w="7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B3</w:t>
            </w:r>
          </w:p>
        </w:tc>
        <w:tc>
          <w:tcPr>
            <w:tcW w:type="dxa" w:w="34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Một flat merged graph, level tags</w:t>
            </w:r>
          </w:p>
        </w:tc>
        <w:tc>
          <w:tcPr>
            <w:tcW w:type="dxa" w:w="52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Hiệu quả của Base/Delta so với chỉ gắn nhãn level.</w:t>
            </w:r>
          </w:p>
        </w:tc>
      </w:tr>
      <w:tr>
        <w:tc>
          <w:tcPr>
            <w:tcW w:type="dxa" w:w="700"/>
            <w:tcMar>
              <w:top w:w="80" w:type="dxa"/>
              <w:start w:w="120" w:type="dxa"/>
              <w:bottom w:w="80" w:type="dxa"/>
              <w:end w:w="120" w:type="dxa"/>
            </w:tcMar>
            <w:vAlign w:val="center"/>
          </w:tcPr>
          <w:p>
            <w:pPr>
              <w:spacing w:after="0" w:line="259" w:lineRule="auto"/>
            </w:pPr>
            <w:r>
              <w:rPr>
                <w:rFonts w:ascii="Calibri" w:hAnsi="Calibri" w:eastAsia="Calibri"/>
                <w:color w:val="18212B"/>
                <w:sz w:val="17"/>
              </w:rPr>
              <w:t>B4</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olor w:val="18212B"/>
                <w:sz w:val="17"/>
              </w:rPr>
              <w:t>K12-style hierarchical concept merge/dedup [1]</w:t>
            </w:r>
          </w:p>
        </w:tc>
        <w:tc>
          <w:tcPr>
            <w:tcW w:type="dxa" w:w="5260"/>
            <w:tcMar>
              <w:top w:w="80" w:type="dxa"/>
              <w:start w:w="120" w:type="dxa"/>
              <w:bottom w:w="80" w:type="dxa"/>
              <w:end w:w="120" w:type="dxa"/>
            </w:tcMar>
            <w:vAlign w:val="center"/>
          </w:tcPr>
          <w:p>
            <w:pPr>
              <w:spacing w:after="0" w:line="259" w:lineRule="auto"/>
            </w:pPr>
            <w:r>
              <w:rPr>
                <w:rFonts w:ascii="Calibri" w:hAnsi="Calibri" w:eastAsia="Calibri"/>
                <w:color w:val="18212B"/>
                <w:sz w:val="17"/>
              </w:rPr>
              <w:t>Claim-level factorization có hơn concept-level merge không.</w:t>
            </w:r>
          </w:p>
        </w:tc>
      </w:tr>
      <w:tr>
        <w:tc>
          <w:tcPr>
            <w:tcW w:type="dxa" w:w="7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B5</w:t>
            </w:r>
          </w:p>
        </w:tc>
        <w:tc>
          <w:tcPr>
            <w:tcW w:type="dxa" w:w="34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CogNet-style sequential multi-agent extraction [2]</w:t>
            </w:r>
          </w:p>
        </w:tc>
        <w:tc>
          <w:tcPr>
            <w:tcW w:type="dxa" w:w="52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BMAC coordination có hơn role pipeline đã có không.</w:t>
            </w:r>
          </w:p>
        </w:tc>
      </w:tr>
      <w:tr>
        <w:tc>
          <w:tcPr>
            <w:tcW w:type="dxa" w:w="700"/>
            <w:tcMar>
              <w:top w:w="80" w:type="dxa"/>
              <w:start w:w="120" w:type="dxa"/>
              <w:bottom w:w="80" w:type="dxa"/>
              <w:end w:w="120" w:type="dxa"/>
            </w:tcMar>
            <w:vAlign w:val="center"/>
          </w:tcPr>
          <w:p>
            <w:pPr>
              <w:spacing w:after="0" w:line="259" w:lineRule="auto"/>
            </w:pPr>
            <w:r>
              <w:rPr>
                <w:rFonts w:ascii="Calibri" w:hAnsi="Calibri" w:eastAsia="Calibri"/>
                <w:color w:val="18212B"/>
                <w:sz w:val="17"/>
              </w:rPr>
              <w:t>B6</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olor w:val="18212B"/>
                <w:sz w:val="17"/>
              </w:rPr>
              <w:t>Microsoft GraphRAG local search [5]</w:t>
            </w:r>
          </w:p>
        </w:tc>
        <w:tc>
          <w:tcPr>
            <w:tcW w:type="dxa" w:w="5260"/>
            <w:tcMar>
              <w:top w:w="80" w:type="dxa"/>
              <w:start w:w="120" w:type="dxa"/>
              <w:bottom w:w="80" w:type="dxa"/>
              <w:end w:w="120" w:type="dxa"/>
            </w:tcMar>
            <w:vAlign w:val="center"/>
          </w:tcPr>
          <w:p>
            <w:pPr>
              <w:spacing w:after="0" w:line="259" w:lineRule="auto"/>
            </w:pPr>
            <w:r>
              <w:rPr>
                <w:rFonts w:ascii="Calibri" w:hAnsi="Calibri" w:eastAsia="Calibri"/>
                <w:color w:val="18212B"/>
                <w:sz w:val="17"/>
              </w:rPr>
              <w:t>So với graph index/retrieval tổng quát.</w:t>
            </w:r>
          </w:p>
        </w:tc>
      </w:tr>
      <w:tr>
        <w:tc>
          <w:tcPr>
            <w:tcW w:type="dxa" w:w="7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B7</w:t>
            </w:r>
          </w:p>
        </w:tc>
        <w:tc>
          <w:tcPr>
            <w:tcW w:type="dxa" w:w="34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CurriculumDelta full</w:t>
            </w:r>
          </w:p>
        </w:tc>
        <w:tc>
          <w:tcPr>
            <w:tcW w:type="dxa" w:w="52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Base/Delta + BMAC + constrained retrieval.</w:t>
            </w:r>
          </w:p>
        </w:tc>
      </w:tr>
    </w:tbl>
    <w:p>
      <w:pPr>
        <w:spacing w:after="0"/>
      </w:pPr>
    </w:p>
    <w:p>
      <w:pPr/>
      <w:r>
        <w:rPr>
          <w:rFonts w:ascii="Calibri" w:hAnsi="Calibri" w:eastAsia="Calibri"/>
          <w:color w:val="18212B"/>
          <w:sz w:val="22"/>
        </w:rPr>
        <w:t>Fairness controls: cùng source text, cùng parser, cùng embedding, cùng answer model, cùng top-k và context-token budget. Mỗi baseline chạy ít nhất ba seeds hoặc ba extraction runs nếu model không deterministic. Với B2, tổng chi phí của cả hai graph phải được cộng lại; không so một graph của chúng ta với chỉ một nửa baseline.</w:t>
      </w:r>
    </w:p>
    <w:p>
      <w:pPr>
        <w:pStyle w:val="Heading2"/>
      </w:pPr>
      <w:r>
        <w:t>6.4. Metrics</w:t>
      </w:r>
    </w:p>
    <w:tbl>
      <w:tblPr>
        <w:tblW w:type="dxa" w:w="9360"/>
        <w:tblLayout w:type="fixed"/>
        <w:tblLook w:firstColumn="1" w:firstRow="1" w:lastColumn="0" w:lastRow="0" w:noHBand="0" w:noVBand="1" w:val="04A0"/>
        <w:jc w:val="left"/>
        <w:tblInd w:w="120" w:type="dxa"/>
        <w:tblBorders>
          <w:top w:val="single" w:sz="5" w:color="CCD4DD"/>
          <w:left w:val="single" w:sz="5" w:color="CCD4DD"/>
          <w:bottom w:val="single" w:sz="5" w:color="CCD4DD"/>
          <w:right w:val="single" w:sz="5" w:color="CCD4DD"/>
          <w:insideH w:val="single" w:sz="5" w:color="CCD4DD"/>
          <w:insideV w:val="single" w:sz="5" w:color="CCD4DD"/>
        </w:tblBorders>
      </w:tblPr>
      <w:tblGrid>
        <w:gridCol w:w="1700"/>
        <w:gridCol w:w="4100"/>
        <w:gridCol w:w="3560"/>
      </w:tblGrid>
      <w:tr>
        <w:trPr>
          <w:tblHeader w:val="true"/>
        </w:trPr>
        <w:tc>
          <w:tcPr>
            <w:tcW w:type="dxa" w:w="17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Tầng đánh giá</w:t>
            </w:r>
          </w:p>
        </w:tc>
        <w:tc>
          <w:tcPr>
            <w:tcW w:type="dxa" w:w="41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Primary metrics</w:t>
            </w:r>
          </w:p>
        </w:tc>
        <w:tc>
          <w:tcPr>
            <w:tcW w:type="dxa" w:w="356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Diagnostic metrics</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olor w:val="18212B"/>
                <w:sz w:val="17"/>
              </w:rPr>
              <w:t>Graph construction</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color w:val="18212B"/>
                <w:sz w:val="17"/>
              </w:rPr>
              <w:t>Claim extraction F1; relation macro-F1; level assignment F1; evidence accuracy.</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olor w:val="18212B"/>
                <w:sz w:val="17"/>
              </w:rPr>
              <w:t>Duplicate Reduction; alias accuracy; cycle/orphan rate; expert correction rate.</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Retrieval</w:t>
            </w:r>
          </w:p>
        </w:tc>
        <w:tc>
          <w:tcPr>
            <w:tcW w:type="dxa" w:w="41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Gold Claim Recall@10; Evidence Recall@10; nDCG@10; Cross-level Path Recall.</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Context Precision; redundant claim rate; average hops; retrieved tokens.</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olor w:val="18212B"/>
                <w:sz w:val="17"/>
              </w:rPr>
              <w:t>Generation</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color w:val="18212B"/>
                <w:sz w:val="17"/>
              </w:rPr>
              <w:t>Atomic Claim-F1; factual correctness; level appropriateness; faithfulness.</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olor w:val="18212B"/>
                <w:sz w:val="17"/>
              </w:rPr>
              <w:t>Completeness; citation accuracy; teacher rubric 1-5; RAGAS/RAGChecker diagnostics [7,8].</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Level behavior</w:t>
            </w:r>
          </w:p>
        </w:tc>
        <w:tc>
          <w:tcPr>
            <w:tcW w:type="dxa" w:w="41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Level Leakage Rate (LLR, lower better); Delta Coverage; Paired Answer Consistency.</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Over-simplification rate; advanced-claim precision; B_9-to-B_12 nestedness.</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olor w:val="18212B"/>
                <w:sz w:val="17"/>
              </w:rPr>
              <w:t>Agent coordination</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color w:val="18212B"/>
                <w:sz w:val="17"/>
              </w:rPr>
              <w:t>Consensus accuracy; conflict-resolution F1; matched-budget graph F1.</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olor w:val="18212B"/>
                <w:sz w:val="17"/>
              </w:rPr>
              <w:t>Agreement, escalation and defer rates; communication tokens; failure recovery.</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Efficiency</w:t>
            </w:r>
          </w:p>
        </w:tc>
        <w:tc>
          <w:tcPr>
            <w:tcW w:type="dxa" w:w="41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USD/100 pages; input/output tokens; end-to-end latency; index size.</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Cost by stage; cache hit rate; Pareto frontier quality vs cost.</w:t>
            </w:r>
          </w:p>
        </w:tc>
      </w:tr>
    </w:tbl>
    <w:p>
      <w:pPr>
        <w:spacing w:after="0"/>
      </w:pPr>
    </w:p>
    <w:p>
      <w:pPr>
        <w:spacing w:before="80" w:after="160"/>
        <w:jc w:val="center"/>
      </w:pPr>
      <w:r>
        <w:rPr>
          <w:rFonts w:ascii="Cambria Math" w:hAnsi="Cambria Math" w:eastAsia="Cambria Math"/>
          <w:i/>
          <w:color w:val="0B2545"/>
          <w:sz w:val="23"/>
        </w:rPr>
        <w:t>LLR = (# retrieved hoặc generated claims chỉ hợp lệ ở level cao hơn) / (# tất cả claims)</w:t>
      </w:r>
    </w:p>
    <w:p>
      <w:pPr>
        <w:spacing w:before="80" w:after="160"/>
        <w:jc w:val="center"/>
      </w:pPr>
      <w:r>
        <w:rPr>
          <w:rFonts w:ascii="Cambria Math" w:hAnsi="Cambria Math" w:eastAsia="Cambria Math"/>
          <w:i/>
          <w:color w:val="0B2545"/>
          <w:sz w:val="23"/>
        </w:rPr>
        <w:t>DeltaCoverage_l = |GoldDelta_l ∩ Retrieved_l| / |GoldDelta_l|</w:t>
      </w:r>
    </w:p>
    <w:p>
      <w:pPr>
        <w:spacing w:before="80" w:after="160"/>
        <w:jc w:val="center"/>
      </w:pPr>
      <w:r>
        <w:rPr>
          <w:rFonts w:ascii="Cambria Math" w:hAnsi="Cambria Math" w:eastAsia="Cambria Math"/>
          <w:i/>
          <w:color w:val="0B2545"/>
          <w:sz w:val="23"/>
        </w:rPr>
        <w:t>PairedConsistency = CorePreservation(answer_9, answer_12) × LevelSeparation(answer_9, answer_12)</w:t>
      </w:r>
    </w:p>
    <w:p>
      <w:pPr/>
      <w:r>
        <w:rPr>
          <w:rFonts w:ascii="Calibri" w:hAnsi="Calibri" w:eastAsia="Calibri"/>
          <w:color w:val="18212B"/>
          <w:sz w:val="22"/>
        </w:rPr>
        <w:t>RAGAS và RAGChecker hữu ích cho diagnostics retrieval/generation [7,8], nhưng không đủ làm primary evidence vì chúng không có khái niệm grade appropriateness. Primary level metrics phải dựa trên teacher-annotated gold claims và forbidden claims.</w:t>
      </w:r>
    </w:p>
    <w:p>
      <w:pPr>
        <w:pStyle w:val="Heading2"/>
      </w:pPr>
      <w:r>
        <w:t>6.5. Kiểm định so với hai graph riêng</w:t>
      </w:r>
    </w:p>
    <w:p>
      <w:pPr/>
      <w:r>
        <w:rPr>
          <w:rFonts w:ascii="Calibri" w:hAnsi="Calibri" w:eastAsia="Calibri"/>
          <w:color w:val="18212B"/>
          <w:sz w:val="22"/>
        </w:rPr>
        <w:t>Không nên thiết kế benchmark chỉ gồm câu hỏi cross-level vì sẽ thiên vị phương pháp đề xuất. Test set cần stratify: 40% within-level factual, 25% shared-core, 20% vertical transition/comparison, 10% horizontal multi-hop và 5% conflict. Báo cáo từng nhóm và macro average. B2 có thể thắng hoặc ngang ở within-level leakage; CurriculumDelta phải chứng minh lợi ích ở transition, consistency, maintenance và cost mà không làm giảm within-level quality.</w:t>
      </w:r>
    </w:p>
    <w:p>
      <w:pPr/>
      <w:r>
        <w:rPr>
          <w:rFonts w:ascii="Calibri" w:hAnsi="Calibri" w:eastAsia="Calibri"/>
          <w:color w:val="18212B"/>
          <w:sz w:val="22"/>
        </w:rPr>
        <w:t>Dùng paired bootstrap 10.000 samples cho chênh lệch Claim-F1/Recall, McNemar cho multiple-choice accuracy, và 95% confidence intervals. Với human rubric, dùng Wilcoxon signed-rank hoặc mixed-effects ordinal model, báo cáo inter-annotator agreement. Ngoài significance, báo cáo effect size và quality-cost Pareto frontier.</w:t>
      </w:r>
    </w:p>
    <w:tbl>
      <w:tblPr>
        <w:tblW w:type="dxa" w:w="9360"/>
        <w:jc w:val="left"/>
        <w:tblLayout w:type="fixed"/>
        <w:tblLook w:firstColumn="1" w:firstRow="1" w:lastColumn="0" w:lastRow="0" w:noHBand="0" w:noVBand="1" w:val="04A0"/>
        <w:tblInd w:w="120" w:type="dxa"/>
        <w:tblBorders>
          <w:top w:val="single" w:sz="8" w:color="9B1C1C"/>
          <w:left w:val="single" w:sz="8" w:color="9B1C1C"/>
          <w:bottom w:val="single" w:sz="8" w:color="9B1C1C"/>
          <w:right w:val="single" w:sz="8" w:color="9B1C1C"/>
          <w:insideH w:val="single" w:sz="8" w:color="9B1C1C"/>
          <w:insideV w:val="single" w:sz="8" w:color="9B1C1C"/>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eastAsia="Calibri"/>
                <w:b/>
                <w:color w:val="9B1C1C"/>
                <w:sz w:val="19"/>
              </w:rPr>
              <w:t xml:space="preserve">TIÊU CHÍ GO/NO-GO  </w:t>
            </w:r>
            <w:r>
              <w:rPr>
                <w:rFonts w:ascii="Calibri" w:hAnsi="Calibri" w:eastAsia="Calibri"/>
                <w:color w:val="18212B"/>
                <w:sz w:val="21"/>
              </w:rPr>
              <w:t>Paper chỉ nên claim superiority nếu full method tăng đáng kể macro Claim-F1 hoặc Cross-level Recall, giảm LLR so với merged baselines, và nằm trên Pareto frontier so với two-graph baseline. Nếu chỉ rẻ hơn mà không tốt hơn, đổi framing sang cost-equivalent performance; không che kết quả âm.</w:t>
            </w:r>
          </w:p>
        </w:tc>
      </w:tr>
    </w:tbl>
    <w:p>
      <w:pPr>
        <w:spacing w:after="0"/>
      </w:pPr>
    </w:p>
    <w:p>
      <w:pPr>
        <w:pStyle w:val="Heading1"/>
      </w:pPr>
      <w:r>
        <w:t>7. Ablations và robustness</w:t>
      </w:r>
    </w:p>
    <w:p>
      <w:pPr>
        <w:pStyle w:val="ListBullet"/>
        <w:spacing w:after="80" w:line="290" w:lineRule="auto"/>
        <w:ind w:left="540" w:hanging="279"/>
      </w:pPr>
      <w:r>
        <w:rPr>
          <w:rFonts w:ascii="Calibri" w:hAnsi="Calibri" w:eastAsia="Calibri"/>
          <w:color w:val="18212B"/>
          <w:sz w:val="22"/>
        </w:rPr>
        <w:t>Không có Base/Delta: giữ flat claims + level.</w:t>
      </w:r>
    </w:p>
    <w:p>
      <w:pPr>
        <w:pStyle w:val="ListBullet"/>
        <w:spacing w:after="80" w:line="290" w:lineRule="auto"/>
        <w:ind w:left="540" w:hanging="279"/>
      </w:pPr>
      <w:r>
        <w:rPr>
          <w:rFonts w:ascii="Calibri" w:hAnsi="Calibri" w:eastAsia="Calibri"/>
          <w:color w:val="18212B"/>
          <w:sz w:val="22"/>
        </w:rPr>
        <w:t>Không có REFINES/PREREQUISITE: chỉ SAME và level-specific.</w:t>
      </w:r>
    </w:p>
    <w:p>
      <w:pPr>
        <w:pStyle w:val="ListBullet"/>
        <w:spacing w:after="80" w:line="290" w:lineRule="auto"/>
        <w:ind w:left="540" w:hanging="279"/>
      </w:pPr>
      <w:r>
        <w:rPr>
          <w:rFonts w:ascii="Calibri" w:hAnsi="Calibri" w:eastAsia="Calibri"/>
          <w:color w:val="18212B"/>
          <w:sz w:val="22"/>
        </w:rPr>
        <w:t>Không có horizontal edges: chỉ depth graph.</w:t>
      </w:r>
    </w:p>
    <w:p>
      <w:pPr>
        <w:pStyle w:val="ListBullet"/>
        <w:spacing w:after="80" w:line="290" w:lineRule="auto"/>
        <w:ind w:left="540" w:hanging="279"/>
      </w:pPr>
      <w:r>
        <w:rPr>
          <w:rFonts w:ascii="Calibri" w:hAnsi="Calibri" w:eastAsia="Calibri"/>
          <w:color w:val="18212B"/>
          <w:sz w:val="22"/>
        </w:rPr>
        <w:t>Không có multi-agent consensus: một model quyết định toàn bộ alignments.</w:t>
      </w:r>
    </w:p>
    <w:p>
      <w:pPr>
        <w:pStyle w:val="ListBullet"/>
        <w:spacing w:after="80" w:line="290" w:lineRule="auto"/>
        <w:ind w:left="540" w:hanging="279"/>
      </w:pPr>
      <w:r>
        <w:rPr>
          <w:rFonts w:ascii="Calibri" w:hAnsi="Calibri" w:eastAsia="Calibri"/>
          <w:color w:val="18212B"/>
          <w:sz w:val="22"/>
        </w:rPr>
        <w:t>Không selective escalation: tất cả dùng cheap model hoặc tất cả dùng strong verifier.</w:t>
      </w:r>
    </w:p>
    <w:p>
      <w:pPr>
        <w:pStyle w:val="ListBullet"/>
        <w:spacing w:after="80" w:line="290" w:lineRule="auto"/>
        <w:ind w:left="540" w:hanging="279"/>
      </w:pPr>
      <w:r>
        <w:rPr>
          <w:rFonts w:ascii="Calibri" w:hAnsi="Calibri" w:eastAsia="Calibri"/>
          <w:color w:val="18212B"/>
          <w:sz w:val="22"/>
        </w:rPr>
        <w:t>Không leakage guard: traversal graph tự do.</w:t>
      </w:r>
    </w:p>
    <w:p>
      <w:pPr>
        <w:pStyle w:val="ListBullet"/>
        <w:spacing w:after="80" w:line="290" w:lineRule="auto"/>
        <w:ind w:left="540" w:hanging="279"/>
      </w:pPr>
      <w:r>
        <w:rPr>
          <w:rFonts w:ascii="Calibri" w:hAnsi="Calibri" w:eastAsia="Calibri"/>
          <w:color w:val="18212B"/>
          <w:sz w:val="22"/>
        </w:rPr>
        <w:t>Level đặt trên mọi edge so với level đặt trên claim: đo storage/index size và query latency.</w:t>
      </w:r>
    </w:p>
    <w:p>
      <w:pPr/>
      <w:r>
        <w:rPr>
          <w:rFonts w:ascii="Calibri" w:hAnsi="Calibri" w:eastAsia="Calibri"/>
          <w:color w:val="18212B"/>
          <w:sz w:val="22"/>
        </w:rPr>
        <w:t>Robustness tests nên inject lỗi có kiểm soát: 10% claims sai level, 10% missing evidence, aliases gây nhiễu và một agent có error rate cao hơn. Đo coordinator có phát hiện bất đồng và phục hồi được không. Đây là thí nghiệm rất hợp AAMAS vì đánh giá collective reliability thay vì chỉ end-task accuracy.</w:t>
      </w:r>
    </w:p>
    <w:p>
      <w:pPr>
        <w:pStyle w:val="Heading1"/>
      </w:pPr>
      <w:r>
        <w:t>8. Đóng góp dự kiến của paper</w:t>
      </w:r>
    </w:p>
    <w:p>
      <w:pPr>
        <w:pStyle w:val="ListNumber"/>
        <w:spacing w:after="80" w:line="290" w:lineRule="auto"/>
        <w:ind w:left="540" w:hanging="279"/>
      </w:pPr>
      <w:r>
        <w:rPr>
          <w:rFonts w:ascii="Calibri" w:hAnsi="Calibri" w:eastAsia="Calibri"/>
          <w:color w:val="18212B"/>
          <w:sz w:val="22"/>
        </w:rPr>
        <w:t>CurriculumDelta graph: một formalism claim-level biểu diễn phần chung và pedagogical deltas xuyên cấp, đồng thời giữ chiều ngang và provenance.</w:t>
      </w:r>
    </w:p>
    <w:p>
      <w:pPr>
        <w:pStyle w:val="ListNumber"/>
        <w:spacing w:after="80" w:line="290" w:lineRule="auto"/>
        <w:ind w:left="540" w:hanging="279"/>
      </w:pPr>
      <w:r>
        <w:rPr>
          <w:rFonts w:ascii="Calibri" w:hAnsi="Calibri" w:eastAsia="Calibri"/>
          <w:color w:val="18212B"/>
          <w:sz w:val="22"/>
        </w:rPr>
        <w:t>BMAC: protocol không RL cho các curriculum agents có local evidence, với negotiation, defer, selective verification và cost trace.</w:t>
      </w:r>
    </w:p>
    <w:p>
      <w:pPr>
        <w:pStyle w:val="ListNumber"/>
        <w:spacing w:after="80" w:line="290" w:lineRule="auto"/>
        <w:ind w:left="540" w:hanging="279"/>
      </w:pPr>
      <w:r>
        <w:rPr>
          <w:rFonts w:ascii="Calibri" w:hAnsi="Calibri" w:eastAsia="Calibri"/>
          <w:color w:val="18212B"/>
          <w:sz w:val="22"/>
        </w:rPr>
        <w:t>Level-calibrated GraphRAG: constrained subgraph retrieval và leakage guard dưới token budget.</w:t>
      </w:r>
    </w:p>
    <w:p>
      <w:pPr>
        <w:pStyle w:val="ListNumber"/>
        <w:spacing w:after="80" w:line="290" w:lineRule="auto"/>
        <w:ind w:left="540" w:hanging="279"/>
      </w:pPr>
      <w:r>
        <w:rPr>
          <w:rFonts w:ascii="Calibri" w:hAnsi="Calibri" w:eastAsia="Calibri"/>
          <w:color w:val="18212B"/>
          <w:sz w:val="22"/>
        </w:rPr>
        <w:t>VietCurriculum-DeltaQA: benchmark paired cross-level có gold claims, evidence, relation paths và forbidden advanced claims.</w:t>
      </w:r>
    </w:p>
    <w:p>
      <w:pPr>
        <w:pStyle w:val="ListNumber"/>
        <w:spacing w:after="80" w:line="290" w:lineRule="auto"/>
        <w:ind w:left="540" w:hanging="279"/>
      </w:pPr>
      <w:r>
        <w:rPr>
          <w:rFonts w:ascii="Calibri" w:hAnsi="Calibri" w:eastAsia="Calibri"/>
          <w:color w:val="18212B"/>
          <w:sz w:val="22"/>
        </w:rPr>
        <w:t>Empirical study: matched-budget comparison với separate graphs, flat graph, K12-style merge, CogNet-style agents, vector RAG và general GraphRAG.</w:t>
      </w:r>
    </w:p>
    <w:p>
      <w:pPr/>
      <w:r>
        <w:rPr>
          <w:rFonts w:ascii="Calibri" w:hAnsi="Calibri" w:eastAsia="Calibri"/>
          <w:color w:val="18212B"/>
          <w:sz w:val="22"/>
        </w:rPr>
        <w:t>Câu contribution không nên nói 'đầu tiên xây graph từ giáo trình theo level'. Câu mạnh và phòng thủ tốt hơn là: 'We study cross-level curriculum graph construction as budgeted reconciliation of distributed pedagogical views, and introduce a claim-level Base/Delta representation plus an auditable consensus protocol.'</w:t>
      </w:r>
    </w:p>
    <w:p>
      <w:pPr>
        <w:pStyle w:val="Heading1"/>
      </w:pPr>
      <w:r>
        <w:t>9. Kế hoạch thực hiện tới AAMAS 2027</w:t>
      </w:r>
    </w:p>
    <w:p>
      <w:pPr/>
      <w:r>
        <w:rPr>
          <w:rFonts w:ascii="Calibri" w:hAnsi="Calibri" w:eastAsia="Calibri"/>
          <w:color w:val="18212B"/>
          <w:sz w:val="22"/>
        </w:rPr>
        <w:t>Theo call chính thức, author registration là 17/09/2026, abstract deadline 01/10/2026 và paper deadline 08/10/2026 (AoE) [14]. Lịch rất gấp, nên khóa scope tối thiểu và ưu tiên result table trước phần tutoring mở rộng.</w:t>
      </w:r>
    </w:p>
    <w:tbl>
      <w:tblPr>
        <w:tblW w:type="dxa" w:w="9360"/>
        <w:tblLayout w:type="fixed"/>
        <w:tblLook w:firstColumn="1" w:firstRow="1" w:lastColumn="0" w:lastRow="0" w:noHBand="0" w:noVBand="1" w:val="04A0"/>
        <w:jc w:val="left"/>
        <w:tblInd w:w="120" w:type="dxa"/>
        <w:tblBorders>
          <w:top w:val="single" w:sz="5" w:color="CCD4DD"/>
          <w:left w:val="single" w:sz="5" w:color="CCD4DD"/>
          <w:bottom w:val="single" w:sz="5" w:color="CCD4DD"/>
          <w:right w:val="single" w:sz="5" w:color="CCD4DD"/>
          <w:insideH w:val="single" w:sz="5" w:color="CCD4DD"/>
          <w:insideV w:val="single" w:sz="5" w:color="CCD4DD"/>
        </w:tblBorders>
      </w:tblPr>
      <w:tblGrid>
        <w:gridCol w:w="1800"/>
        <w:gridCol w:w="4100"/>
        <w:gridCol w:w="3460"/>
      </w:tblGrid>
      <w:tr>
        <w:trPr>
          <w:tblHeader w:val="true"/>
        </w:trPr>
        <w:tc>
          <w:tcPr>
            <w:tcW w:type="dxa" w:w="18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Thời gian</w:t>
            </w:r>
          </w:p>
        </w:tc>
        <w:tc>
          <w:tcPr>
            <w:tcW w:type="dxa" w:w="410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Deliverable</w:t>
            </w:r>
          </w:p>
        </w:tc>
        <w:tc>
          <w:tcPr>
            <w:tcW w:type="dxa" w:w="3460"/>
            <w:tcMar>
              <w:top w:w="80" w:type="dxa"/>
              <w:start w:w="120" w:type="dxa"/>
              <w:bottom w:w="80" w:type="dxa"/>
              <w:end w:w="120" w:type="dxa"/>
            </w:tcMar>
            <w:vAlign w:val="center"/>
            <w:shd w:fill="E8EEF5"/>
          </w:tcPr>
          <w:p>
            <w:pPr>
              <w:spacing w:after="0"/>
              <w:jc w:val="left"/>
            </w:pPr>
            <w:r>
              <w:rPr>
                <w:rFonts w:ascii="Calibri" w:hAnsi="Calibri" w:eastAsia="Calibri"/>
                <w:b/>
                <w:color w:val="0B2545"/>
                <w:sz w:val="18"/>
              </w:rPr>
              <w:t>Điều kiện hoàn thành</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8212B"/>
                <w:sz w:val="17"/>
              </w:rPr>
              <w:t>25/08-03/09</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color w:val="18212B"/>
                <w:sz w:val="17"/>
              </w:rPr>
              <w:t>Freeze schema, implement Base/Delta + evidence, chọn 2 môn.</w:t>
            </w:r>
          </w:p>
        </w:tc>
        <w:tc>
          <w:tcPr>
            <w:tcW w:type="dxa" w:w="3460"/>
            <w:tcMar>
              <w:top w:w="80" w:type="dxa"/>
              <w:start w:w="120" w:type="dxa"/>
              <w:bottom w:w="80" w:type="dxa"/>
              <w:end w:w="120" w:type="dxa"/>
            </w:tcMar>
            <w:vAlign w:val="center"/>
          </w:tcPr>
          <w:p>
            <w:pPr>
              <w:spacing w:after="0" w:line="259" w:lineRule="auto"/>
            </w:pPr>
            <w:r>
              <w:rPr>
                <w:rFonts w:ascii="Calibri" w:hAnsi="Calibri" w:eastAsia="Calibri"/>
                <w:color w:val="18212B"/>
                <w:sz w:val="17"/>
              </w:rPr>
              <w:t>Chạy được end-to-end trên 2 chương; audit 100 claims.</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04/09-10/09</w:t>
            </w:r>
          </w:p>
        </w:tc>
        <w:tc>
          <w:tcPr>
            <w:tcW w:type="dxa" w:w="41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Tạo 300-400 benchmark items đầu và annotation guide.</w:t>
            </w:r>
          </w:p>
        </w:tc>
        <w:tc>
          <w:tcPr>
            <w:tcW w:type="dxa" w:w="34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Hai annotators đạt agreement chấp nhận được sau calibration.</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8212B"/>
                <w:sz w:val="17"/>
              </w:rPr>
              <w:t>11/09-17/09</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color w:val="18212B"/>
                <w:sz w:val="17"/>
              </w:rPr>
              <w:t>Implement B1-B5, agent logs và cost accounting; đăng ký tác giả.</w:t>
            </w:r>
          </w:p>
        </w:tc>
        <w:tc>
          <w:tcPr>
            <w:tcW w:type="dxa" w:w="3460"/>
            <w:tcMar>
              <w:top w:w="80" w:type="dxa"/>
              <w:start w:w="120" w:type="dxa"/>
              <w:bottom w:w="80" w:type="dxa"/>
              <w:end w:w="120" w:type="dxa"/>
            </w:tcMar>
            <w:vAlign w:val="center"/>
          </w:tcPr>
          <w:p>
            <w:pPr>
              <w:spacing w:after="0" w:line="259" w:lineRule="auto"/>
            </w:pPr>
            <w:r>
              <w:rPr>
                <w:rFonts w:ascii="Calibri" w:hAnsi="Calibri" w:eastAsia="Calibri"/>
                <w:color w:val="18212B"/>
                <w:sz w:val="17"/>
              </w:rPr>
              <w:t>Có dry-run fair controls và baseline sanity checks.</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18/09-24/09</w:t>
            </w:r>
          </w:p>
        </w:tc>
        <w:tc>
          <w:tcPr>
            <w:tcW w:type="dxa" w:w="41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Khóa test set; chạy main experiments + ablations.</w:t>
            </w:r>
          </w:p>
        </w:tc>
        <w:tc>
          <w:tcPr>
            <w:tcW w:type="dxa" w:w="34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Có bảng graph/retrieval/generation/cost với CI.</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olor w:val="18212B"/>
                <w:sz w:val="17"/>
              </w:rPr>
              <w:t>25/09-01/10</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color w:val="18212B"/>
                <w:sz w:val="17"/>
              </w:rPr>
              <w:t>Error analysis, robustness, viết abstract và method.</w:t>
            </w:r>
          </w:p>
        </w:tc>
        <w:tc>
          <w:tcPr>
            <w:tcW w:type="dxa" w:w="3460"/>
            <w:tcMar>
              <w:top w:w="80" w:type="dxa"/>
              <w:start w:w="120" w:type="dxa"/>
              <w:bottom w:w="80" w:type="dxa"/>
              <w:end w:w="120" w:type="dxa"/>
            </w:tcMar>
            <w:vAlign w:val="center"/>
          </w:tcPr>
          <w:p>
            <w:pPr>
              <w:spacing w:after="0" w:line="259" w:lineRule="auto"/>
            </w:pPr>
            <w:r>
              <w:rPr>
                <w:rFonts w:ascii="Calibri" w:hAnsi="Calibri" w:eastAsia="Calibri"/>
                <w:color w:val="18212B"/>
                <w:sz w:val="17"/>
              </w:rPr>
              <w:t>Submit abstract 01/10; figure/table gần hoàn chỉnh.</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02/10-07/10</w:t>
            </w:r>
          </w:p>
        </w:tc>
        <w:tc>
          <w:tcPr>
            <w:tcW w:type="dxa" w:w="410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Viết paper, reproducibility checklist, internal review.</w:t>
            </w:r>
          </w:p>
        </w:tc>
        <w:tc>
          <w:tcPr>
            <w:tcW w:type="dxa" w:w="3460"/>
            <w:shd w:fill="FAFBFC"/>
            <w:tcMar>
              <w:top w:w="80" w:type="dxa"/>
              <w:start w:w="120" w:type="dxa"/>
              <w:bottom w:w="80" w:type="dxa"/>
              <w:end w:w="120" w:type="dxa"/>
            </w:tcMar>
            <w:vAlign w:val="center"/>
          </w:tcPr>
          <w:p>
            <w:pPr>
              <w:spacing w:after="0" w:line="259" w:lineRule="auto"/>
            </w:pPr>
            <w:r>
              <w:rPr>
                <w:rFonts w:ascii="Calibri" w:hAnsi="Calibri" w:eastAsia="Calibri"/>
                <w:color w:val="18212B"/>
                <w:sz w:val="17"/>
              </w:rPr>
              <w:t>Submission-ready trước deadline ít nhất 12 giờ.</w:t>
            </w:r>
          </w:p>
        </w:tc>
      </w:tr>
    </w:tbl>
    <w:p>
      <w:pPr>
        <w:spacing w:after="0"/>
      </w:pPr>
    </w:p>
    <w:tbl>
      <w:tblPr>
        <w:tblW w:type="dxa" w:w="9360"/>
        <w:jc w:val="left"/>
        <w:tblLayout w:type="fixed"/>
        <w:tblLook w:firstColumn="1" w:firstRow="1" w:lastColumn="0" w:lastRow="0" w:noHBand="0" w:noVBand="1" w:val="04A0"/>
        <w:tblInd w:w="120" w:type="dxa"/>
        <w:tblBorders>
          <w:top w:val="single" w:sz="8" w:color="246B45"/>
          <w:left w:val="single" w:sz="8" w:color="246B45"/>
          <w:bottom w:val="single" w:sz="8" w:color="246B45"/>
          <w:right w:val="single" w:sz="8" w:color="246B45"/>
          <w:insideH w:val="single" w:sz="8" w:color="246B45"/>
          <w:insideV w:val="single" w:sz="8" w:color="246B45"/>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eastAsia="Calibri"/>
                <w:b/>
                <w:color w:val="246B45"/>
                <w:sz w:val="19"/>
              </w:rPr>
              <w:t xml:space="preserve">SCOPE TỐI THIỂU KHẢ THI  </w:t>
            </w:r>
            <w:r>
              <w:rPr>
                <w:rFonts w:ascii="Calibri" w:hAnsi="Calibri" w:eastAsia="Calibri"/>
                <w:color w:val="18212B"/>
                <w:sz w:val="21"/>
              </w:rPr>
              <w:t>2 môn × lớp 9/12; 600 câu; B1-B5+B7; 4 primary metrics; 4 ablations; 2 giáo viên + adjudication. EViQA, tutoring dialogue và bốn môn chỉ làm nếu main experiments đã khóa trước 24/09.</w:t>
            </w:r>
          </w:p>
        </w:tc>
      </w:tr>
    </w:tbl>
    <w:p>
      <w:pPr>
        <w:spacing w:after="0"/>
      </w:pPr>
    </w:p>
    <w:p>
      <w:pPr>
        <w:pStyle w:val="Heading1"/>
      </w:pPr>
      <w:r>
        <w:t>10. Rủi ro nghiên cứu và cách xử lý</w:t>
      </w:r>
    </w:p>
    <w:p>
      <w:pPr>
        <w:pStyle w:val="ListBullet"/>
        <w:spacing w:after="80" w:line="290" w:lineRule="auto"/>
        <w:ind w:left="540" w:hanging="279"/>
      </w:pPr>
      <w:r>
        <w:rPr>
          <w:rFonts w:ascii="Calibri" w:hAnsi="Calibri" w:eastAsia="Calibri"/>
          <w:color w:val="18212B"/>
          <w:sz w:val="22"/>
        </w:rPr>
        <w:t>Overlap lớp 9/12 quá thấp: chọn concept families có progression rõ; mở rộng grade pair hoặc môn, nhưng báo cáo sampling frame để tránh cherry-pick.</w:t>
      </w:r>
    </w:p>
    <w:p>
      <w:pPr>
        <w:pStyle w:val="ListBullet"/>
        <w:spacing w:after="80" w:line="290" w:lineRule="auto"/>
        <w:ind w:left="540" w:hanging="279"/>
      </w:pPr>
      <w:r>
        <w:rPr>
          <w:rFonts w:ascii="Calibri" w:hAnsi="Calibri" w:eastAsia="Calibri"/>
          <w:color w:val="18212B"/>
          <w:sz w:val="22"/>
        </w:rPr>
        <w:t>Two-graph baseline thắng within-level QA: chuyển trọng tâm sang cross-level consistency, update cost và transition tasks; không giấu subgroup results.</w:t>
      </w:r>
    </w:p>
    <w:p>
      <w:pPr>
        <w:pStyle w:val="ListBullet"/>
        <w:spacing w:after="80" w:line="290" w:lineRule="auto"/>
        <w:ind w:left="540" w:hanging="279"/>
      </w:pPr>
      <w:r>
        <w:rPr>
          <w:rFonts w:ascii="Calibri" w:hAnsi="Calibri" w:eastAsia="Calibri"/>
          <w:color w:val="18212B"/>
          <w:sz w:val="22"/>
        </w:rPr>
        <w:t>Agent protocol không hơn single-agent: giữ Base/Delta representation là contribution RR, hoặc chứng minh same quality at lower cost; giảm claim GAAI nếu coordination không có empirical gain.</w:t>
      </w:r>
    </w:p>
    <w:p>
      <w:pPr>
        <w:pStyle w:val="ListBullet"/>
        <w:spacing w:after="80" w:line="290" w:lineRule="auto"/>
        <w:ind w:left="540" w:hanging="279"/>
      </w:pPr>
      <w:r>
        <w:rPr>
          <w:rFonts w:ascii="Calibri" w:hAnsi="Calibri" w:eastAsia="Calibri"/>
          <w:color w:val="18212B"/>
          <w:sz w:val="22"/>
        </w:rPr>
        <w:t>LLM judge bias: primary metrics dùng gold atomic claims và teacher ratings; judge tự động chỉ là secondary diagnostic.</w:t>
      </w:r>
    </w:p>
    <w:p>
      <w:pPr>
        <w:pStyle w:val="ListBullet"/>
        <w:spacing w:after="80" w:line="290" w:lineRule="auto"/>
        <w:ind w:left="540" w:hanging="279"/>
      </w:pPr>
      <w:r>
        <w:rPr>
          <w:rFonts w:ascii="Calibri" w:hAnsi="Calibri" w:eastAsia="Calibri"/>
          <w:color w:val="18212B"/>
          <w:sz w:val="22"/>
        </w:rPr>
        <w:t>Copyright giáo trình: phát hành graph-derived IDs/annotations và evidence offsets theo quyền cho phép; không phát hành nguyên văn sách nếu chưa có license.</w:t>
      </w:r>
    </w:p>
    <w:p>
      <w:pPr>
        <w:pStyle w:val="ListBullet"/>
        <w:spacing w:after="80" w:line="290" w:lineRule="auto"/>
        <w:ind w:left="540" w:hanging="279"/>
      </w:pPr>
      <w:r>
        <w:rPr>
          <w:rFonts w:ascii="Calibri" w:hAnsi="Calibri" w:eastAsia="Calibri"/>
          <w:color w:val="18212B"/>
          <w:sz w:val="22"/>
        </w:rPr>
        <w:t>Deadline không đủ: ưu tiên reproducible small-scale study với confidence intervals hơn graph lớn nhưng thiếu gold validation.</w:t>
      </w:r>
    </w:p>
    <w:p>
      <w:pPr>
        <w:pStyle w:val="Heading1"/>
      </w:pPr>
      <w:r>
        <w:t>11. Dàn ý paper AAMAS</w:t>
      </w:r>
    </w:p>
    <w:p>
      <w:pPr>
        <w:pStyle w:val="ListNumber"/>
        <w:spacing w:after="80" w:line="290" w:lineRule="auto"/>
        <w:ind w:left="540" w:hanging="279"/>
      </w:pPr>
      <w:r>
        <w:rPr>
          <w:rFonts w:ascii="Calibri" w:hAnsi="Calibri" w:eastAsia="Calibri"/>
          <w:color w:val="18212B"/>
          <w:sz w:val="22"/>
        </w:rPr>
        <w:t>Introduction: distributed curriculum views, merge-vs-separate dilemma, AAMAS coordination question.</w:t>
      </w:r>
    </w:p>
    <w:p>
      <w:pPr>
        <w:pStyle w:val="ListNumber"/>
        <w:spacing w:after="80" w:line="290" w:lineRule="auto"/>
        <w:ind w:left="540" w:hanging="279"/>
      </w:pPr>
      <w:r>
        <w:rPr>
          <w:rFonts w:ascii="Calibri" w:hAnsi="Calibri" w:eastAsia="Calibri"/>
          <w:color w:val="18212B"/>
          <w:sz w:val="22"/>
        </w:rPr>
        <w:t>Related Work: educational KGs, K12-KGraph, CogNet-KG, multi-agent KG construction, GraphRAG evaluation.</w:t>
      </w:r>
    </w:p>
    <w:p>
      <w:pPr>
        <w:pStyle w:val="ListNumber"/>
        <w:spacing w:after="80" w:line="290" w:lineRule="auto"/>
        <w:ind w:left="540" w:hanging="279"/>
      </w:pPr>
      <w:r>
        <w:rPr>
          <w:rFonts w:ascii="Calibri" w:hAnsi="Calibri" w:eastAsia="Calibri"/>
          <w:color w:val="18212B"/>
          <w:sz w:val="22"/>
        </w:rPr>
        <w:t>Problem Formulation: local graphs, Base/Delta, evidence, budget và leakage.</w:t>
      </w:r>
    </w:p>
    <w:p>
      <w:pPr>
        <w:pStyle w:val="ListNumber"/>
        <w:spacing w:after="80" w:line="290" w:lineRule="auto"/>
        <w:ind w:left="540" w:hanging="279"/>
      </w:pPr>
      <w:r>
        <w:rPr>
          <w:rFonts w:ascii="Calibri" w:hAnsi="Calibri" w:eastAsia="Calibri"/>
          <w:color w:val="18212B"/>
          <w:sz w:val="22"/>
        </w:rPr>
        <w:t>Method: local agents, candidate alignment, BMAC protocol, graph assembly, constrained retrieval.</w:t>
      </w:r>
    </w:p>
    <w:p>
      <w:pPr>
        <w:pStyle w:val="ListNumber"/>
        <w:spacing w:after="80" w:line="290" w:lineRule="auto"/>
        <w:ind w:left="540" w:hanging="279"/>
      </w:pPr>
      <w:r>
        <w:rPr>
          <w:rFonts w:ascii="Calibri" w:hAnsi="Calibri" w:eastAsia="Calibri"/>
          <w:color w:val="18212B"/>
          <w:sz w:val="22"/>
        </w:rPr>
        <w:t>Benchmark: VietCurriculum-DeltaQA, annotation và task families.</w:t>
      </w:r>
    </w:p>
    <w:p>
      <w:pPr>
        <w:pStyle w:val="ListNumber"/>
        <w:spacing w:after="80" w:line="290" w:lineRule="auto"/>
        <w:ind w:left="540" w:hanging="279"/>
      </w:pPr>
      <w:r>
        <w:rPr>
          <w:rFonts w:ascii="Calibri" w:hAnsi="Calibri" w:eastAsia="Calibri"/>
          <w:color w:val="18212B"/>
          <w:sz w:val="22"/>
        </w:rPr>
        <w:t>Experiments: baselines, metrics, matched-budget controls, ablations, robustness.</w:t>
      </w:r>
    </w:p>
    <w:p>
      <w:pPr>
        <w:pStyle w:val="ListNumber"/>
        <w:spacing w:after="80" w:line="290" w:lineRule="auto"/>
        <w:ind w:left="540" w:hanging="279"/>
      </w:pPr>
      <w:r>
        <w:rPr>
          <w:rFonts w:ascii="Calibri" w:hAnsi="Calibri" w:eastAsia="Calibri"/>
          <w:color w:val="18212B"/>
          <w:sz w:val="22"/>
        </w:rPr>
        <w:t>Results and Analysis: quality-cost Pareto, failures, agent disagreements, two-graph comparison.</w:t>
      </w:r>
    </w:p>
    <w:p>
      <w:pPr>
        <w:pStyle w:val="ListNumber"/>
        <w:spacing w:after="80" w:line="290" w:lineRule="auto"/>
        <w:ind w:left="540" w:hanging="279"/>
      </w:pPr>
      <w:r>
        <w:rPr>
          <w:rFonts w:ascii="Calibri" w:hAnsi="Calibri" w:eastAsia="Calibri"/>
          <w:color w:val="18212B"/>
          <w:sz w:val="22"/>
        </w:rPr>
        <w:t>Limitations, Ethics and Reproducibility: copyright, teacher review, model/API variance.</w:t>
      </w:r>
    </w:p>
    <w:p>
      <w:pPr>
        <w:pStyle w:val="Heading1"/>
      </w:pPr>
      <w:r>
        <w:t>Tài liệu tham khảo</w:t>
      </w:r>
    </w:p>
    <w:p>
      <w:pPr>
        <w:spacing w:after="100" w:line="259" w:lineRule="auto"/>
        <w:ind w:left="288" w:hanging="288"/>
      </w:pPr>
      <w:r>
        <w:rPr>
          <w:rFonts w:ascii="Calibri" w:hAnsi="Calibri" w:eastAsia="Calibri"/>
          <w:color w:val="18212B"/>
          <w:sz w:val="18"/>
        </w:rPr>
        <w:t xml:space="preserve">[1] Liang et al. (2026). K12-KGraph: A Curriculum-Aligned Knowledge Graph for Benchmarking and Training Educational LLMs. </w:t>
      </w:r>
      <w:hyperlink r:id="rId12">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[2] Yu et al. (2026). CogNet-KG: Empowering Tutoring Dialogues with a Cognitively-Structured Knowledge Graph for STEM Learning. Findings of ACL. </w:t>
      </w:r>
      <w:hyperlink r:id="rId13">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[3] Zhu et al. (2023). LLMs for Knowledge Graph Construction and Reasoning: Recent Capabilities and Future Opportunities (AutoKG). </w:t>
      </w:r>
      <w:hyperlink r:id="rId14">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[4] Multi-source knowledge graph construction through LLM-assisted incremental fusion (2026). Information Systems with Applications. </w:t>
      </w:r>
      <w:hyperlink r:id="rId15">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[5] Edge et al. (2024). From Local to Global: A Graph RAG Approach to Query-Focused Summarization. </w:t>
      </w:r>
      <w:hyperlink r:id="rId16">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[6] He et al. (2024). G-Retriever: Retrieval-Augmented Generation for Textual Graph Understanding and Question Answering. NeurIPS. </w:t>
      </w:r>
      <w:hyperlink r:id="rId17">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[7] Es et al. (2024). RAGAs: Automated Evaluation of Retrieval Augmented Generation. EACL System Demonstrations. </w:t>
      </w:r>
      <w:hyperlink r:id="rId18">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[8] Ru et al. (2024). RAGChecker: A Fine-grained Framework for Diagnosing Retrieval-Augmented Generation. </w:t>
      </w:r>
      <w:hyperlink r:id="rId19">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[9] Kembhavi et al. (2017). Are You Smarter Than a Sixth Grader? Textbook Question Answering for Multimodal Machine Comprehension. CVPR. </w:t>
      </w:r>
      <w:hyperlink r:id="rId20">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[10] Mihaylov et al. (2018). Can a Suit of Armor Conduct Electricity? A New Dataset for Open Book Question Answering. EMNLP. </w:t>
      </w:r>
      <w:hyperlink r:id="rId21">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[11] Clark et al. (2018). Think you have Solved Question Answering? Try ARC, the AI2 Reasoning Challenge. </w:t>
      </w:r>
      <w:hyperlink r:id="rId22">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[12] Dao et al. (2023). VNHSGE: VietNamese High School Graduation Examination Dataset for Large Language Models. </w:t>
      </w:r>
      <w:hyperlink r:id="rId23">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[13] Nguyễn Minh Nhật, Trần Sơn Hải, Ma Ngân Giang (2026). EViQA: Bộ dữ liệu hỏi đáp trực quan đa lĩnh vực cho học liệu số tại Việt Nam. </w:t>
      </w:r>
      <w:hyperlink r:id="rId24">
        <w:r>
          <w:rPr>
            <w:color w:val="2E74B5"/>
            <w:u w:val="single"/>
          </w:rPr>
          <w:t>Nguồn trực tuyến</w:t>
        </w:r>
      </w:hyperlink>
    </w:p>
    <w:p>
      <w:pPr>
        <w:spacing w:after="100" w:line="259" w:lineRule="auto"/>
        <w:ind w:left="288" w:hanging="288"/>
      </w:pPr>
      <w:r>
        <w:rPr>
          <w:rFonts w:ascii="Calibri" w:hAnsi="Calibri" w:eastAsia="Calibri"/>
          <w:color w:val="18212B"/>
          <w:sz w:val="18"/>
        </w:rPr>
        <w:t xml:space="preserve">[14] AAMAS 2027 Call for Main Track. Areas, scope and official deadlines. </w:t>
      </w:r>
      <w:hyperlink r:id="rId25">
        <w:r>
          <w:rPr>
            <w:color w:val="2E74B5"/>
            <w:u w:val="single"/>
          </w:rPr>
          <w:t>Nguồn trực tuyến</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8"/>
        <w:sz w:val="17"/>
      </w:rPr>
      <w:t xml:space="preserve">Trang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8" w:color="D5DCE4"/>
      </w:pBdr>
    </w:pPr>
    <w:r>
      <w:rPr>
        <w:rFonts w:ascii="Calibri" w:hAnsi="Calibri" w:eastAsia="Calibri"/>
        <w:b/>
        <w:color w:val="5F6B78"/>
        <w:sz w:val="17"/>
      </w:rPr>
      <w:t>CURRICULUMDELTA  |  AAMAS 2027 RESEARCH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18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9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200"/>
      <w:jc w:val="center"/>
    </w:pPr>
    <w:rPr>
      <w:rFonts w:ascii="Calibri" w:hAnsi="Calibri"/>
      <w:i/>
      <w:color w:val="5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rxiv.org/html/2605.09635v3" TargetMode="External"/><Relationship Id="rId13" Type="http://schemas.openxmlformats.org/officeDocument/2006/relationships/hyperlink" Target="https://aclanthology.org/2026.findings-acl.639/" TargetMode="External"/><Relationship Id="rId14" Type="http://schemas.openxmlformats.org/officeDocument/2006/relationships/hyperlink" Target="https://arxiv.org/abs/2305.13168" TargetMode="External"/><Relationship Id="rId15" Type="http://schemas.openxmlformats.org/officeDocument/2006/relationships/hyperlink" Target="https://doi.org/10.1016/j.iswa.2026.200674" TargetMode="External"/><Relationship Id="rId16" Type="http://schemas.openxmlformats.org/officeDocument/2006/relationships/hyperlink" Target="https://arxiv.org/abs/2404.16130" TargetMode="External"/><Relationship Id="rId17" Type="http://schemas.openxmlformats.org/officeDocument/2006/relationships/hyperlink" Target="https://proceedings.neurips.cc/paper_files/paper/2024/hash/efaf1c9726648c8ba363a5c927440529-Abstract-Conference.html" TargetMode="External"/><Relationship Id="rId18" Type="http://schemas.openxmlformats.org/officeDocument/2006/relationships/hyperlink" Target="https://aclanthology.org/2024.eacl-demo.16/" TargetMode="External"/><Relationship Id="rId19" Type="http://schemas.openxmlformats.org/officeDocument/2006/relationships/hyperlink" Target="https://arxiv.org/abs/2408.08067" TargetMode="External"/><Relationship Id="rId20" Type="http://schemas.openxmlformats.org/officeDocument/2006/relationships/hyperlink" Target="https://openaccess.thecvf.com/content_cvpr_2017/html/Kembhavi_Are_You_Smarter_CVPR_2017_paper.html" TargetMode="External"/><Relationship Id="rId21" Type="http://schemas.openxmlformats.org/officeDocument/2006/relationships/hyperlink" Target="https://aclanthology.org/D18-1260/" TargetMode="External"/><Relationship Id="rId22" Type="http://schemas.openxmlformats.org/officeDocument/2006/relationships/hyperlink" Target="https://arxiv.org/abs/1803.05457" TargetMode="External"/><Relationship Id="rId23" Type="http://schemas.openxmlformats.org/officeDocument/2006/relationships/hyperlink" Target="https://arxiv.org/abs/2305.12199" TargetMode="External"/><Relationship Id="rId24" Type="http://schemas.openxmlformats.org/officeDocument/2006/relationships/hyperlink" Target="https://jst.tnu.edu.vn/jst/article/view/15406" TargetMode="External"/><Relationship Id="rId25" Type="http://schemas.openxmlformats.org/officeDocument/2006/relationships/hyperlink" Target="https://warwick.ac.uk/fac/sci/dcs/aamas2027/calls/call-for-main-tr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CurriculumDelta: AAMAS 2027 Research Proposal</dc:title>
  <dc:subject>Cross-level educational GraphRAG and budgeted multi-agent graph construction</dc:subject>
  <dc:creator>Research planning draft</dc:creator>
  <cp:keywords>AAMAS, multi-agent systems, GraphRAG, educational knowledge graph, curriculum</cp:keywords>
  <dc:description>generated by python-docx</dc:description>
  <cp:lastModifiedBy/>
  <cp:revision>1</cp:revision>
  <dcterms:created xsi:type="dcterms:W3CDTF">2013-12-23T23:15:00Z</dcterms:created>
  <dcterms:modified xsi:type="dcterms:W3CDTF">2013-12-23T23:15:00Z</dcterms:modified>
  <cp:category/>
</cp:coreProperties>
</file>