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5866345" cy="4206599"/>
            <wp:effectExtent b="0" l="0" r="0" t="0"/>
            <wp:docPr descr="BSS_LOGO" id="1" name="image02.jpg"/>
            <a:graphic>
              <a:graphicData uri="http://schemas.openxmlformats.org/drawingml/2006/picture">
                <pic:pic>
                  <pic:nvPicPr>
                    <pic:cNvPr descr="BSS_LOGO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345" cy="420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Process Decision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color w:val="808080"/>
          <w:rtl w:val="0"/>
        </w:rPr>
        <w:t xml:space="preserve">Van Lang Admissions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Revision Table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center"/>
        <w:tblInd w:w="-115.0" w:type="dxa"/>
        <w:tblBorders>
          <w:top w:color="00a0b8" w:space="0" w:sz="8" w:val="single"/>
          <w:left w:color="00a0b8" w:space="0" w:sz="8" w:val="single"/>
          <w:bottom w:color="00a0b8" w:space="0" w:sz="8" w:val="single"/>
          <w:right w:color="00a0b8" w:space="0" w:sz="8" w:val="single"/>
          <w:insideH w:color="d9d9d9" w:space="0" w:sz="4" w:val="single"/>
          <w:insideV w:color="000000" w:space="0" w:sz="4" w:val="single"/>
        </w:tblBorders>
        <w:tblLayout w:type="fixed"/>
        <w:tblLook w:val="04A0"/>
      </w:tblPr>
      <w:tblGrid>
        <w:gridCol w:w="2065"/>
        <w:gridCol w:w="1708"/>
        <w:gridCol w:w="4052"/>
        <w:gridCol w:w="1525"/>
        <w:tblGridChange w:id="0">
          <w:tblGrid>
            <w:gridCol w:w="2065"/>
            <w:gridCol w:w="1708"/>
            <w:gridCol w:w="4052"/>
            <w:gridCol w:w="1525"/>
          </w:tblGrid>
        </w:tblGridChange>
      </w:tblGrid>
      <w:t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Author</w:t>
            </w:r>
          </w:p>
        </w:tc>
        <w:tc>
          <w:tcPr>
            <w:tcBorders>
              <w:top w:color="00addc" w:space="0" w:sz="4" w:val="single"/>
              <w:bottom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tcBorders>
              <w:top w:color="00addc" w:space="0" w:sz="4" w:val="single"/>
              <w:bottom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Reason for changes</w:t>
            </w:r>
          </w:p>
        </w:tc>
        <w:tc>
          <w:tcPr>
            <w:tcBorders>
              <w:top w:color="00addc" w:space="0" w:sz="4" w:val="single"/>
              <w:bottom w:color="00addc" w:space="0" w:sz="4" w:val="single"/>
              <w:right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Version</w:t>
            </w:r>
          </w:p>
        </w:tc>
      </w:tr>
      <w:tr>
        <w:tc>
          <w:tcPr>
            <w:tcBorders>
              <w:top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Khoi Nguyen</w:t>
            </w:r>
          </w:p>
        </w:tc>
        <w:tc>
          <w:tcPr>
            <w:tcBorders>
              <w:top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22/10/2016</w:t>
            </w:r>
          </w:p>
        </w:tc>
        <w:tc>
          <w:tcPr>
            <w:tcBorders>
              <w:top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Borders>
              <w:top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60" w:before="0" w:line="2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a0b8"/>
          <w:sz w:val="30"/>
          <w:szCs w:val="30"/>
          <w:rtl w:val="0"/>
        </w:rPr>
        <w:t xml:space="preserve">Table of Contents</w:t>
      </w:r>
    </w:p>
    <w:p w:rsidR="00000000" w:rsidDel="00000000" w:rsidP="00000000" w:rsidRDefault="00000000" w:rsidRPr="00000000">
      <w:pPr>
        <w:tabs>
          <w:tab w:val="left" w:pos="660"/>
          <w:tab w:val="right" w:pos="8630"/>
        </w:tabs>
        <w:spacing w:after="100" w:before="120" w:line="264" w:lineRule="auto"/>
        <w:contextualSpacing w:val="0"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Revision Table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_Toc46490240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60"/>
          <w:tab w:val="right" w:pos="8630"/>
        </w:tabs>
        <w:spacing w:after="100" w:before="120" w:line="264" w:lineRule="auto"/>
        <w:contextualSpacing w:val="0"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1.</w:t>
        </w:r>
      </w:hyperlink>
      <w:hyperlink w:anchor="_3znysh7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INTRODUCTION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_Toc4649024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1.1.</w:t>
        </w:r>
      </w:hyperlink>
      <w:hyperlink w:anchor="_tyjcwt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Purpose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24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1.2.</w:t>
        </w:r>
      </w:hyperlink>
      <w:hyperlink w:anchor="_3dy6vkm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Audience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24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60"/>
          <w:tab w:val="right" w:pos="8630"/>
        </w:tabs>
        <w:spacing w:after="100" w:before="120" w:line="264" w:lineRule="auto"/>
        <w:contextualSpacing w:val="0"/>
      </w:pP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2.</w:t>
        </w:r>
      </w:hyperlink>
      <w:hyperlink w:anchor="_1t3h5sf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Process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_Toc4649024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bookmarkStart w:colFirst="0" w:colLast="0" w:name="_1fob9te" w:id="2"/>
      <w:bookmarkEnd w:id="2"/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2.1.</w:t>
        </w:r>
      </w:hyperlink>
      <w:hyperlink w:anchor="_4d34og8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Process flow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24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2.2.</w:t>
        </w:r>
      </w:hyperlink>
      <w:hyperlink w:anchor="_2s8eyo1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Advantage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24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2.3.</w:t>
        </w:r>
      </w:hyperlink>
      <w:hyperlink w:anchor="_17dp8vu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Disadvantage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24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60"/>
          <w:tab w:val="right" w:pos="8630"/>
        </w:tabs>
        <w:spacing w:after="100" w:before="120" w:line="264" w:lineRule="auto"/>
        <w:contextualSpacing w:val="0"/>
      </w:pPr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3.</w:t>
        </w:r>
      </w:hyperlink>
      <w:hyperlink w:anchor="_3rdcrjn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Comparison</w:t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_Toc4649024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3.1.</w:t>
        </w:r>
      </w:hyperlink>
      <w:hyperlink w:anchor="_26in1rg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Compare incremental with Waterfall</w:t>
        </w:r>
      </w:hyperlink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24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3.2.</w:t>
        </w:r>
      </w:hyperlink>
      <w:hyperlink w:anchor="_lnxbz9">
        <w:r w:rsidDel="00000000" w:rsidR="00000000" w:rsidRPr="00000000">
          <w:rPr>
            <w:rFonts w:ascii="Constantia" w:cs="Constantia" w:eastAsia="Constantia" w:hAnsi="Constantia"/>
            <w:b w:val="0"/>
            <w:sz w:val="22"/>
            <w:szCs w:val="22"/>
            <w:rtl w:val="0"/>
          </w:rPr>
          <w:tab/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Process Decision</w:t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24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4649024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4649024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tyjcwt" w:id="5"/>
      <w:bookmarkEnd w:id="5"/>
      <w:bookmarkStart w:colFirst="0" w:colLast="0" w:name="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The overall objective of a Software Process Lifecycle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The intended audience of the CM Plan is 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364.0" w:type="dxa"/>
        <w:jc w:val="center"/>
        <w:tblInd w:w="-115.0" w:type="dxa"/>
        <w:tblBorders>
          <w:top w:color="00a0b8" w:space="0" w:sz="8" w:val="single"/>
          <w:left w:color="00a0b8" w:space="0" w:sz="8" w:val="single"/>
          <w:bottom w:color="00a0b8" w:space="0" w:sz="8" w:val="single"/>
          <w:right w:color="00a0b8" w:space="0" w:sz="8" w:val="single"/>
          <w:insideH w:color="d9d9d9" w:space="0" w:sz="4" w:val="single"/>
          <w:insideV w:color="000000" w:space="0" w:sz="4" w:val="single"/>
        </w:tblBorders>
        <w:tblLayout w:type="fixed"/>
        <w:tblLook w:val="00A0"/>
      </w:tblPr>
      <w:tblGrid>
        <w:gridCol w:w="3969"/>
        <w:gridCol w:w="4395"/>
        <w:tblGridChange w:id="0">
          <w:tblGrid>
            <w:gridCol w:w="3969"/>
            <w:gridCol w:w="4395"/>
          </w:tblGrid>
        </w:tblGridChange>
      </w:tblGrid>
      <w:tr>
        <w:trPr>
          <w:trHeight w:val="20" w:hRule="atLeast"/>
        </w:trPr>
        <w:tc>
          <w:tcPr>
            <w:tcBorders>
              <w:bottom w:color="00addc" w:space="0" w:sz="4" w:val="single"/>
            </w:tcBorders>
            <w:shd w:fill="00addc"/>
            <w:vAlign w:val="center"/>
          </w:tcPr>
          <w:p w:rsidR="00000000" w:rsidDel="00000000" w:rsidP="00000000" w:rsidRDefault="00000000" w:rsidRPr="00000000">
            <w:pPr>
              <w:spacing w:after="200" w:before="120" w:line="264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Intended Audience</w:t>
            </w:r>
          </w:p>
        </w:tc>
        <w:tc>
          <w:tcPr>
            <w:tcBorders>
              <w:bottom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spacing w:after="200" w:before="120" w:line="264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trHeight w:val="20" w:hRule="atLeast"/>
        </w:trP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Process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Disadvantage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incremental with Waterfall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Decision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728" w:left="1800" w:right="180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16"/>
          <w:szCs w:val="16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16"/>
        <w:szCs w:val="16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smallCaps w:val="1"/>
        <w:color w:val="808080"/>
        <w:sz w:val="16"/>
        <w:szCs w:val="16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r w:rsidDel="00000000" w:rsidR="00000000" w:rsidRPr="00000000">
      <mc:AlternateContent>
        <mc:Choice Requires="wpg">
          <w:drawing>
            <wp:inline distB="0" distT="0" distL="114300" distR="114300">
              <wp:extent cx="3949700" cy="2667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74325" y="3647412"/>
                        <a:ext cx="3943350" cy="265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tantia" w:cs="Constantia" w:eastAsia="Constantia" w:hAnsi="Constant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BSS - Team | Capstone Project | October 22, 2016</w:t>
                          </w:r>
                        </w:p>
                      </w:txbxContent>
                    </wps:txbx>
                    <wps:bodyPr anchorCtr="0" anchor="t" bIns="45700" lIns="0" rIns="0" tIns="45700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3949700" cy="266700"/>
              <wp:effectExtent b="0" l="0" r="0" t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49700" cy="266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</w:pPr>
    <w:r w:rsidDel="00000000" w:rsidR="00000000" w:rsidRPr="00000000">
      <w:rPr>
        <w:rFonts w:ascii="Constantia" w:cs="Constantia" w:eastAsia="Constantia" w:hAnsi="Constantia"/>
        <w:b w:val="0"/>
        <w:color w:val="00a0b8"/>
        <w:sz w:val="24"/>
        <w:szCs w:val="24"/>
        <w:rtl w:val="0"/>
      </w:rPr>
      <w:t xml:space="preserve">Software Process DecisionOctober 22, 2016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  <w:jc w:val="center"/>
    </w:pPr>
    <w:r w:rsidDel="00000000" w:rsidR="00000000" w:rsidRPr="00000000">
      <w:drawing>
        <wp:inline distB="0" distT="0" distL="0" distR="0">
          <wp:extent cx="1507250" cy="381000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1.%1."/>
      <w:lvlJc w:val="left"/>
      <w:pPr>
        <w:ind w:left="1080" w:firstLine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1080" w:firstLine="360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440" w:firstLine="360"/>
      </w:pPr>
      <w:rPr/>
    </w:lvl>
    <w:lvl w:ilvl="4">
      <w:start w:val="1"/>
      <w:numFmt w:val="decimal"/>
      <w:lvlText w:val="%1.%2.%3.%4.%5."/>
      <w:lvlJc w:val="left"/>
      <w:pPr>
        <w:ind w:left="1440" w:firstLine="360"/>
      </w:pPr>
      <w:rPr/>
    </w:lvl>
    <w:lvl w:ilvl="5">
      <w:start w:val="1"/>
      <w:numFmt w:val="decimal"/>
      <w:lvlText w:val="%1.%2.%3.%4.%5.%6."/>
      <w:lvlJc w:val="left"/>
      <w:pPr>
        <w:ind w:left="1800" w:firstLine="360"/>
      </w:pPr>
      <w:rPr/>
    </w:lvl>
    <w:lvl w:ilvl="6">
      <w:start w:val="1"/>
      <w:numFmt w:val="decimal"/>
      <w:lvlText w:val="%1.%2.%3.%4.%5.%6.%7."/>
      <w:lvlJc w:val="left"/>
      <w:pPr>
        <w:ind w:left="1800" w:firstLine="360"/>
      </w:pPr>
      <w:rPr/>
    </w:lvl>
    <w:lvl w:ilvl="7">
      <w:start w:val="1"/>
      <w:numFmt w:val="decimal"/>
      <w:lvlText w:val="%1.%2.%3.%4.%5.%6.%7.%8."/>
      <w:lvlJc w:val="left"/>
      <w:pPr>
        <w:ind w:left="2160" w:firstLine="360"/>
      </w:pPr>
      <w:rPr/>
    </w:lvl>
    <w:lvl w:ilvl="8">
      <w:start w:val="1"/>
      <w:numFmt w:val="decimal"/>
      <w:lvlText w:val="%1.%2.%3.%4.%5.%6.%7.%8.%9."/>
      <w:lvlJc w:val="left"/>
      <w:pPr>
        <w:ind w:left="2160" w:firstLine="360"/>
      </w:pPr>
      <w:rPr/>
    </w:lvl>
  </w:abstractNum>
  <w:abstractNum w:abstractNumId="3">
    <w:lvl w:ilvl="0">
      <w:start w:val="1"/>
      <w:numFmt w:val="decimal"/>
      <w:lvlText w:val="3.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sz w:val="36"/>
        <w:szCs w:val="36"/>
      </w:rPr>
    </w:lvl>
    <w:lvl w:ilvl="1">
      <w:start w:val="2"/>
      <w:numFmt w:val="decimal"/>
      <w:lvlText w:val="%1.%2."/>
      <w:lvlJc w:val="left"/>
      <w:pPr>
        <w:ind w:left="1080" w:firstLine="360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440" w:firstLine="360"/>
      </w:pPr>
      <w:rPr/>
    </w:lvl>
    <w:lvl w:ilvl="4">
      <w:start w:val="1"/>
      <w:numFmt w:val="decimal"/>
      <w:lvlText w:val="%1.%2.%3.%4.%5."/>
      <w:lvlJc w:val="left"/>
      <w:pPr>
        <w:ind w:left="1440" w:firstLine="360"/>
      </w:pPr>
      <w:rPr/>
    </w:lvl>
    <w:lvl w:ilvl="5">
      <w:start w:val="1"/>
      <w:numFmt w:val="decimal"/>
      <w:lvlText w:val="%1.%2.%3.%4.%5.%6."/>
      <w:lvlJc w:val="left"/>
      <w:pPr>
        <w:ind w:left="1800" w:firstLine="360"/>
      </w:pPr>
      <w:rPr/>
    </w:lvl>
    <w:lvl w:ilvl="6">
      <w:start w:val="1"/>
      <w:numFmt w:val="decimal"/>
      <w:lvlText w:val="%1.%2.%3.%4.%5.%6.%7."/>
      <w:lvlJc w:val="left"/>
      <w:pPr>
        <w:ind w:left="1800" w:firstLine="360"/>
      </w:pPr>
      <w:rPr/>
    </w:lvl>
    <w:lvl w:ilvl="7">
      <w:start w:val="1"/>
      <w:numFmt w:val="decimal"/>
      <w:lvlText w:val="%1.%2.%3.%4.%5.%6.%7.%8."/>
      <w:lvlJc w:val="left"/>
      <w:pPr>
        <w:ind w:left="2160" w:firstLine="360"/>
      </w:pPr>
      <w:rPr/>
    </w:lvl>
    <w:lvl w:ilvl="8">
      <w:start w:val="1"/>
      <w:numFmt w:val="decimal"/>
      <w:lvlText w:val="%1.%2.%3.%4.%5.%6.%7.%8.%9."/>
      <w:lvlJc w:val="left"/>
      <w:pPr>
        <w:ind w:left="2160" w:firstLine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120" w:line="26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="264" w:lineRule="auto"/>
    </w:pPr>
    <w:rPr>
      <w:rFonts w:ascii="Constantia" w:cs="Constantia" w:eastAsia="Constantia" w:hAnsi="Constantia"/>
      <w:b w:val="0"/>
      <w:smallCaps w:val="1"/>
      <w:color w:val="00a0b8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="264" w:lineRule="auto"/>
    </w:pPr>
    <w:rPr>
      <w:rFonts w:ascii="Constantia" w:cs="Constantia" w:eastAsia="Constantia" w:hAnsi="Constantia"/>
      <w:b w:val="0"/>
      <w:smallCaps w:val="1"/>
      <w:color w:val="00a0b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64" w:lineRule="auto"/>
    </w:pPr>
    <w:rPr>
      <w:rFonts w:ascii="Constantia" w:cs="Constantia" w:eastAsia="Constantia" w:hAnsi="Constantia"/>
      <w:b w:val="0"/>
      <w:color w:val="00a0b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64" w:lineRule="auto"/>
    </w:pPr>
    <w:rPr>
      <w:rFonts w:ascii="Constantia" w:cs="Constantia" w:eastAsia="Constantia" w:hAnsi="Constantia"/>
      <w:b w:val="0"/>
      <w:i w:val="1"/>
      <w:color w:val="00a0b8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64" w:lineRule="auto"/>
    </w:pPr>
    <w:rPr>
      <w:rFonts w:ascii="Constantia" w:cs="Constantia" w:eastAsia="Constantia" w:hAnsi="Constantia"/>
      <w:b w:val="0"/>
      <w:color w:val="00505c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64" w:lineRule="auto"/>
    </w:pPr>
    <w:rPr>
      <w:rFonts w:ascii="Constantia" w:cs="Constantia" w:eastAsia="Constantia" w:hAnsi="Constantia"/>
      <w:b w:val="0"/>
      <w:i w:val="1"/>
      <w:color w:val="004f5b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40" w:before="480" w:line="240" w:lineRule="auto"/>
      <w:jc w:val="center"/>
    </w:pPr>
    <w:rPr>
      <w:rFonts w:ascii="Constantia" w:cs="Constantia" w:eastAsia="Constantia" w:hAnsi="Constantia"/>
      <w:b w:val="0"/>
      <w:color w:val="007789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0" w:line="264" w:lineRule="auto"/>
      <w:jc w:val="center"/>
    </w:pPr>
    <w:rPr>
      <w:rFonts w:ascii="Constantia" w:cs="Constantia" w:eastAsia="Constantia" w:hAnsi="Constantia"/>
      <w:b w:val="0"/>
      <w:i w:val="1"/>
      <w:smallCaps w:val="1"/>
      <w:color w:val="666666"/>
      <w:sz w:val="26"/>
      <w:szCs w:val="26"/>
    </w:rPr>
  </w:style>
  <w:style w:type="table" w:styleId="Table1">
    <w:basedOn w:val="TableNormal"/>
    <w:pPr>
      <w:spacing w:after="0" w:before="40" w:line="240" w:lineRule="auto"/>
      <w:ind w:left="144" w:right="144" w:firstLine="0"/>
      <w:jc w:val="right"/>
    </w:pPr>
    <w:rPr>
      <w:rFonts w:ascii="Constantia" w:cs="Constantia" w:eastAsia="Constantia" w:hAnsi="Constantia"/>
      <w:color w:val="ffffff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/>
    <w:tblStylePr w:type="band1Vert"/>
    <w:tblStylePr w:type="band2Horz"/>
    <w:tblStylePr w:type="band2Vert"/>
    <w:tblStylePr w:type="firstCol">
      <w:pPr>
        <w:jc w:val="left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before="40" w:line="240" w:lineRule="auto"/>
      <w:ind w:left="144" w:right="144" w:firstLine="0"/>
      <w:jc w:val="right"/>
    </w:pPr>
    <w:rPr>
      <w:rFonts w:ascii="Constantia" w:cs="Constantia" w:eastAsia="Constantia" w:hAnsi="Constantia"/>
      <w:color w:val="ffffff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pPr>
        <w:contextualSpacing w:val="1"/>
      </w:pPr>
      <w:rPr/>
      <w:tcPr>
        <w:tcBorders>
          <w:top w:color="00a0b8" w:space="0" w:sz="8" w:val="single"/>
          <w:left w:color="00a0b8" w:space="0" w:sz="8" w:val="single"/>
          <w:bottom w:color="00a0b8" w:space="0" w:sz="8" w:val="single"/>
          <w:right w:color="00a0b8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00a0b8" w:space="0" w:sz="8" w:val="single"/>
          <w:left w:color="00a0b8" w:space="0" w:sz="8" w:val="single"/>
          <w:bottom w:color="00a0b8" w:space="0" w:sz="8" w:val="single"/>
          <w:right w:color="00a0b8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a0b8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a0b8" w:space="0" w:sz="6" w:val="single"/>
          <w:left w:color="00a0b8" w:space="0" w:sz="8" w:val="single"/>
          <w:bottom w:color="00a0b8" w:space="0" w:sz="8" w:val="single"/>
          <w:right w:color="00a0b8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02.jp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