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97116" w14:textId="77777777" w:rsidR="001F08BA" w:rsidRDefault="00000000">
      <w:pPr>
        <w:pStyle w:val="Heading1"/>
        <w:jc w:val="center"/>
      </w:pPr>
      <w:r>
        <w:t>BÀI 4: ĐÁNH GIÁ NGUỒN THÔNG TIN VỀ HỆ THỐNG CƠ SỞ DỮ LIỆU (CSDL)</w:t>
      </w:r>
      <w:r>
        <w:br/>
        <w:t>SO SÁNH SQL VÀ NOSQL</w:t>
      </w:r>
    </w:p>
    <w:p w14:paraId="738427AA" w14:textId="77777777" w:rsidR="001F08BA" w:rsidRDefault="00000000">
      <w:r>
        <w:br/>
        <w:t>I. Câu hỏi nghiên cứu và chiến lược tìm kiếm</w:t>
      </w:r>
      <w:r>
        <w:br/>
      </w:r>
      <w:r>
        <w:br/>
        <w:t>Câu hỏi nghiên cứu:</w:t>
      </w:r>
      <w:r>
        <w:br/>
        <w:t>Trong các ứng dụng công nghệ thông tin hiện đại, đặc biệt là các hệ thống xử lý dữ liệu lớn và ứng dụng web có khả năng mở rộng cao, hệ quản trị cơ sở dữ liệu SQL và NoSQL có những ưu điểm và hạn chế gì?</w:t>
      </w:r>
      <w:r>
        <w:br/>
      </w:r>
      <w:r>
        <w:br/>
        <w:t>Từ khóa tìm kiếm:</w:t>
      </w:r>
      <w:r>
        <w:br/>
        <w:t>- So sánh SQL và NoSQL</w:t>
      </w:r>
      <w:r>
        <w:br/>
        <w:t>- SQL vs NoSQL scalability</w:t>
      </w:r>
      <w:r>
        <w:br/>
        <w:t>- Relational database vs NoSQL database</w:t>
      </w:r>
      <w:r>
        <w:br/>
        <w:t>- Big Data database comparison</w:t>
      </w:r>
      <w:r>
        <w:br/>
        <w:t>- Web application database SQL NoSQL</w:t>
      </w:r>
      <w:r>
        <w:br/>
      </w:r>
      <w:r>
        <w:br/>
        <w:t>Chiến lược tìm kiếm:</w:t>
      </w:r>
      <w:r>
        <w:br/>
        <w:t>Sinh viên sử dụng Google và Google Scholar để tìm kiếm tài liệu. Các toán tử tìm kiếm được sử dụng bao gồm dấu ngoặc kép (“ ”) nhằm tìm cụm từ chính xác và toán tử filetype:pdf để lọc các bài báo khoa học, báo cáo kỹ thuật. Ngoài ra, sinh viên tham khảo thêm tài liệu chính thức từ các nhà cung cấp hệ quản trị CSDL như Oracle và MongoDB, cũng như các bài nghiên cứu học thuật từ các tạp chí uy tín.</w:t>
      </w:r>
      <w:r>
        <w:br/>
      </w:r>
    </w:p>
    <w:p w14:paraId="73747EFD" w14:textId="77777777" w:rsidR="006A0A8A" w:rsidRDefault="00000000">
      <w:r>
        <w:br/>
        <w:t>II. Bảng đánh giá CRAAP</w:t>
      </w:r>
      <w:r>
        <w:br/>
      </w:r>
      <w:r>
        <w:br/>
        <w:t>Các nguồn thông tin thu thập được được đánh giá dựa trên 5 tiêu chí của bài kiểm tra CRAAP: Tính thời sự (Currency), Tính liên quan (Relevance), Tính uy quyền (Authority), Tính chính xác (Accuracy) và Mục đích (Purpose). Mỗi tiêu chí được chấm theo thang điểm từ 1 đến 5.</w:t>
      </w:r>
    </w:p>
    <w:p w14:paraId="2FF29A52" w14:textId="461A2118" w:rsidR="001F08BA" w:rsidRDefault="00000000">
      <w:r>
        <w:b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7"/>
        <w:gridCol w:w="1502"/>
        <w:gridCol w:w="1184"/>
        <w:gridCol w:w="1299"/>
        <w:gridCol w:w="1228"/>
        <w:gridCol w:w="1212"/>
        <w:gridCol w:w="1098"/>
        <w:gridCol w:w="1015"/>
      </w:tblGrid>
      <w:tr w:rsidR="001F08BA" w14:paraId="005019D3" w14:textId="77777777" w:rsidTr="006A0A8A">
        <w:tc>
          <w:tcPr>
            <w:tcW w:w="1176" w:type="dxa"/>
          </w:tcPr>
          <w:p w14:paraId="0917157B" w14:textId="77777777" w:rsidR="001F08BA" w:rsidRDefault="00000000">
            <w:r>
              <w:lastRenderedPageBreak/>
              <w:t>STT</w:t>
            </w:r>
          </w:p>
        </w:tc>
        <w:tc>
          <w:tcPr>
            <w:tcW w:w="1176" w:type="dxa"/>
          </w:tcPr>
          <w:p w14:paraId="559FD36B" w14:textId="77777777" w:rsidR="001F08BA" w:rsidRDefault="00000000">
            <w:r>
              <w:t>Nguồn tài liệu</w:t>
            </w:r>
          </w:p>
        </w:tc>
        <w:tc>
          <w:tcPr>
            <w:tcW w:w="1176" w:type="dxa"/>
          </w:tcPr>
          <w:p w14:paraId="6F7E9180" w14:textId="77777777" w:rsidR="001F08BA" w:rsidRDefault="00000000">
            <w:r>
              <w:t>Currency</w:t>
            </w:r>
          </w:p>
        </w:tc>
        <w:tc>
          <w:tcPr>
            <w:tcW w:w="1176" w:type="dxa"/>
          </w:tcPr>
          <w:p w14:paraId="65A0CF56" w14:textId="77777777" w:rsidR="001F08BA" w:rsidRDefault="00000000">
            <w:r>
              <w:t>Relevance</w:t>
            </w:r>
          </w:p>
        </w:tc>
        <w:tc>
          <w:tcPr>
            <w:tcW w:w="1176" w:type="dxa"/>
          </w:tcPr>
          <w:p w14:paraId="653F0F8D" w14:textId="77777777" w:rsidR="001F08BA" w:rsidRDefault="00000000">
            <w:r>
              <w:t>Authority</w:t>
            </w:r>
          </w:p>
        </w:tc>
        <w:tc>
          <w:tcPr>
            <w:tcW w:w="1176" w:type="dxa"/>
          </w:tcPr>
          <w:p w14:paraId="3F4470FC" w14:textId="77777777" w:rsidR="001F08BA" w:rsidRDefault="00000000">
            <w:r>
              <w:t>Accuracy</w:t>
            </w:r>
          </w:p>
        </w:tc>
        <w:tc>
          <w:tcPr>
            <w:tcW w:w="1176" w:type="dxa"/>
          </w:tcPr>
          <w:p w14:paraId="3FAF4871" w14:textId="77777777" w:rsidR="001F08BA" w:rsidRDefault="00000000">
            <w:r>
              <w:t>Purpose</w:t>
            </w:r>
          </w:p>
        </w:tc>
        <w:tc>
          <w:tcPr>
            <w:tcW w:w="1176" w:type="dxa"/>
          </w:tcPr>
          <w:p w14:paraId="427AE92C" w14:textId="77777777" w:rsidR="001F08BA" w:rsidRDefault="00000000">
            <w:r>
              <w:t>Nhận xét</w:t>
            </w:r>
          </w:p>
        </w:tc>
      </w:tr>
      <w:tr w:rsidR="001F08BA" w14:paraId="60FFD273" w14:textId="77777777" w:rsidTr="006A0A8A">
        <w:tc>
          <w:tcPr>
            <w:tcW w:w="1176" w:type="dxa"/>
          </w:tcPr>
          <w:p w14:paraId="1BFB6927" w14:textId="77777777" w:rsidR="001F08BA" w:rsidRDefault="00000000">
            <w:r>
              <w:t>1</w:t>
            </w:r>
          </w:p>
        </w:tc>
        <w:tc>
          <w:tcPr>
            <w:tcW w:w="1176" w:type="dxa"/>
          </w:tcPr>
          <w:p w14:paraId="16FDCB2C" w14:textId="77777777" w:rsidR="001F08BA" w:rsidRDefault="00000000">
            <w:r>
              <w:t>Oracle Corporation – Oracle Database Concepts</w:t>
            </w:r>
          </w:p>
        </w:tc>
        <w:tc>
          <w:tcPr>
            <w:tcW w:w="1176" w:type="dxa"/>
          </w:tcPr>
          <w:p w14:paraId="21681C38" w14:textId="77777777" w:rsidR="001F08BA" w:rsidRDefault="00000000">
            <w:r>
              <w:t>5</w:t>
            </w:r>
          </w:p>
        </w:tc>
        <w:tc>
          <w:tcPr>
            <w:tcW w:w="1176" w:type="dxa"/>
          </w:tcPr>
          <w:p w14:paraId="320F63E4" w14:textId="77777777" w:rsidR="001F08BA" w:rsidRDefault="00000000">
            <w:r>
              <w:t>5</w:t>
            </w:r>
          </w:p>
        </w:tc>
        <w:tc>
          <w:tcPr>
            <w:tcW w:w="1176" w:type="dxa"/>
          </w:tcPr>
          <w:p w14:paraId="1377E99D" w14:textId="77777777" w:rsidR="001F08BA" w:rsidRDefault="00000000">
            <w:r>
              <w:t>5</w:t>
            </w:r>
          </w:p>
        </w:tc>
        <w:tc>
          <w:tcPr>
            <w:tcW w:w="1176" w:type="dxa"/>
          </w:tcPr>
          <w:p w14:paraId="7A49DFF5" w14:textId="77777777" w:rsidR="001F08BA" w:rsidRDefault="00000000">
            <w:r>
              <w:t>5</w:t>
            </w:r>
          </w:p>
        </w:tc>
        <w:tc>
          <w:tcPr>
            <w:tcW w:w="1176" w:type="dxa"/>
          </w:tcPr>
          <w:p w14:paraId="7F21B57B" w14:textId="77777777" w:rsidR="001F08BA" w:rsidRDefault="00000000">
            <w:r>
              <w:t>4</w:t>
            </w:r>
          </w:p>
        </w:tc>
        <w:tc>
          <w:tcPr>
            <w:tcW w:w="1176" w:type="dxa"/>
          </w:tcPr>
          <w:p w14:paraId="4B3C3D13" w14:textId="77777777" w:rsidR="001F08BA" w:rsidRDefault="00000000">
            <w:r>
              <w:t>Nguồn chính thống, cập nhật và đáng tin cậy</w:t>
            </w:r>
          </w:p>
        </w:tc>
      </w:tr>
      <w:tr w:rsidR="001F08BA" w14:paraId="24B86580" w14:textId="77777777" w:rsidTr="006A0A8A">
        <w:tc>
          <w:tcPr>
            <w:tcW w:w="1176" w:type="dxa"/>
          </w:tcPr>
          <w:p w14:paraId="513969BB" w14:textId="77777777" w:rsidR="001F08BA" w:rsidRDefault="00000000">
            <w:r>
              <w:t>2</w:t>
            </w:r>
          </w:p>
        </w:tc>
        <w:tc>
          <w:tcPr>
            <w:tcW w:w="1176" w:type="dxa"/>
          </w:tcPr>
          <w:p w14:paraId="229A109D" w14:textId="77777777" w:rsidR="001F08BA" w:rsidRDefault="00000000">
            <w:r>
              <w:t>MongoDB Inc. – Introduction to MongoDB</w:t>
            </w:r>
          </w:p>
        </w:tc>
        <w:tc>
          <w:tcPr>
            <w:tcW w:w="1176" w:type="dxa"/>
          </w:tcPr>
          <w:p w14:paraId="0B7C1D2C" w14:textId="77777777" w:rsidR="001F08BA" w:rsidRDefault="00000000">
            <w:r>
              <w:t>5</w:t>
            </w:r>
          </w:p>
        </w:tc>
        <w:tc>
          <w:tcPr>
            <w:tcW w:w="1176" w:type="dxa"/>
          </w:tcPr>
          <w:p w14:paraId="3377D510" w14:textId="77777777" w:rsidR="001F08BA" w:rsidRDefault="00000000">
            <w:r>
              <w:t>5</w:t>
            </w:r>
          </w:p>
        </w:tc>
        <w:tc>
          <w:tcPr>
            <w:tcW w:w="1176" w:type="dxa"/>
          </w:tcPr>
          <w:p w14:paraId="17358382" w14:textId="77777777" w:rsidR="001F08BA" w:rsidRDefault="00000000">
            <w:r>
              <w:t>5</w:t>
            </w:r>
          </w:p>
        </w:tc>
        <w:tc>
          <w:tcPr>
            <w:tcW w:w="1176" w:type="dxa"/>
          </w:tcPr>
          <w:p w14:paraId="7B02CAA5" w14:textId="77777777" w:rsidR="001F08BA" w:rsidRDefault="00000000">
            <w:r>
              <w:t>4</w:t>
            </w:r>
          </w:p>
        </w:tc>
        <w:tc>
          <w:tcPr>
            <w:tcW w:w="1176" w:type="dxa"/>
          </w:tcPr>
          <w:p w14:paraId="35251387" w14:textId="77777777" w:rsidR="001F08BA" w:rsidRDefault="00000000">
            <w:r>
              <w:t>4</w:t>
            </w:r>
          </w:p>
        </w:tc>
        <w:tc>
          <w:tcPr>
            <w:tcW w:w="1176" w:type="dxa"/>
          </w:tcPr>
          <w:p w14:paraId="6A6AF7FC" w14:textId="77777777" w:rsidR="001F08BA" w:rsidRDefault="00000000">
            <w:r>
              <w:t>Thông tin rõ ràng, có xu hướng quảng bá sản phẩm</w:t>
            </w:r>
          </w:p>
        </w:tc>
      </w:tr>
      <w:tr w:rsidR="001F08BA" w14:paraId="3560EC16" w14:textId="77777777" w:rsidTr="006A0A8A">
        <w:tc>
          <w:tcPr>
            <w:tcW w:w="1176" w:type="dxa"/>
          </w:tcPr>
          <w:p w14:paraId="511AA901" w14:textId="77777777" w:rsidR="001F08BA" w:rsidRDefault="00000000">
            <w:r>
              <w:t>3</w:t>
            </w:r>
          </w:p>
        </w:tc>
        <w:tc>
          <w:tcPr>
            <w:tcW w:w="1176" w:type="dxa"/>
          </w:tcPr>
          <w:p w14:paraId="06D26C79" w14:textId="77777777" w:rsidR="001F08BA" w:rsidRDefault="00000000">
            <w:r>
              <w:t>Stonebraker et al. – SQL Databases vs NoSQL Databases</w:t>
            </w:r>
          </w:p>
        </w:tc>
        <w:tc>
          <w:tcPr>
            <w:tcW w:w="1176" w:type="dxa"/>
          </w:tcPr>
          <w:p w14:paraId="51982104" w14:textId="77777777" w:rsidR="001F08BA" w:rsidRDefault="00000000">
            <w:r>
              <w:t>4</w:t>
            </w:r>
          </w:p>
        </w:tc>
        <w:tc>
          <w:tcPr>
            <w:tcW w:w="1176" w:type="dxa"/>
          </w:tcPr>
          <w:p w14:paraId="54378618" w14:textId="77777777" w:rsidR="001F08BA" w:rsidRDefault="00000000">
            <w:r>
              <w:t>5</w:t>
            </w:r>
          </w:p>
        </w:tc>
        <w:tc>
          <w:tcPr>
            <w:tcW w:w="1176" w:type="dxa"/>
          </w:tcPr>
          <w:p w14:paraId="71203948" w14:textId="77777777" w:rsidR="001F08BA" w:rsidRDefault="00000000">
            <w:r>
              <w:t>5</w:t>
            </w:r>
          </w:p>
        </w:tc>
        <w:tc>
          <w:tcPr>
            <w:tcW w:w="1176" w:type="dxa"/>
          </w:tcPr>
          <w:p w14:paraId="7C4274F1" w14:textId="77777777" w:rsidR="001F08BA" w:rsidRDefault="00000000">
            <w:r>
              <w:t>5</w:t>
            </w:r>
          </w:p>
        </w:tc>
        <w:tc>
          <w:tcPr>
            <w:tcW w:w="1176" w:type="dxa"/>
          </w:tcPr>
          <w:p w14:paraId="1C8D3013" w14:textId="77777777" w:rsidR="001F08BA" w:rsidRDefault="00000000">
            <w:r>
              <w:t>5</w:t>
            </w:r>
          </w:p>
        </w:tc>
        <w:tc>
          <w:tcPr>
            <w:tcW w:w="1176" w:type="dxa"/>
          </w:tcPr>
          <w:p w14:paraId="6F79F961" w14:textId="77777777" w:rsidR="001F08BA" w:rsidRDefault="00000000">
            <w:r>
              <w:t>Nguồn học thuật, phân tích khách quan</w:t>
            </w:r>
          </w:p>
        </w:tc>
      </w:tr>
      <w:tr w:rsidR="001F08BA" w14:paraId="2187C4F9" w14:textId="77777777" w:rsidTr="006A0A8A">
        <w:tc>
          <w:tcPr>
            <w:tcW w:w="1176" w:type="dxa"/>
          </w:tcPr>
          <w:p w14:paraId="624DC68E" w14:textId="77777777" w:rsidR="001F08BA" w:rsidRDefault="00000000">
            <w:r>
              <w:t>4</w:t>
            </w:r>
          </w:p>
        </w:tc>
        <w:tc>
          <w:tcPr>
            <w:tcW w:w="1176" w:type="dxa"/>
          </w:tcPr>
          <w:p w14:paraId="5CC72920" w14:textId="77777777" w:rsidR="001F08BA" w:rsidRDefault="00000000">
            <w:r>
              <w:t>Blog cá nhân so sánh SQL và NoSQL</w:t>
            </w:r>
          </w:p>
        </w:tc>
        <w:tc>
          <w:tcPr>
            <w:tcW w:w="1176" w:type="dxa"/>
          </w:tcPr>
          <w:p w14:paraId="5F818DE9" w14:textId="77777777" w:rsidR="001F08BA" w:rsidRDefault="00000000">
            <w:r>
              <w:t>2</w:t>
            </w:r>
          </w:p>
        </w:tc>
        <w:tc>
          <w:tcPr>
            <w:tcW w:w="1176" w:type="dxa"/>
          </w:tcPr>
          <w:p w14:paraId="082E02F5" w14:textId="77777777" w:rsidR="001F08BA" w:rsidRDefault="00000000">
            <w:r>
              <w:t>3</w:t>
            </w:r>
          </w:p>
        </w:tc>
        <w:tc>
          <w:tcPr>
            <w:tcW w:w="1176" w:type="dxa"/>
          </w:tcPr>
          <w:p w14:paraId="68342647" w14:textId="77777777" w:rsidR="001F08BA" w:rsidRDefault="00000000">
            <w:r>
              <w:t>2</w:t>
            </w:r>
          </w:p>
        </w:tc>
        <w:tc>
          <w:tcPr>
            <w:tcW w:w="1176" w:type="dxa"/>
          </w:tcPr>
          <w:p w14:paraId="33AD5141" w14:textId="77777777" w:rsidR="001F08BA" w:rsidRDefault="00000000">
            <w:r>
              <w:t>2</w:t>
            </w:r>
          </w:p>
        </w:tc>
        <w:tc>
          <w:tcPr>
            <w:tcW w:w="1176" w:type="dxa"/>
          </w:tcPr>
          <w:p w14:paraId="1B12EDD4" w14:textId="77777777" w:rsidR="001F08BA" w:rsidRDefault="00000000">
            <w:r>
              <w:t>2</w:t>
            </w:r>
          </w:p>
        </w:tc>
        <w:tc>
          <w:tcPr>
            <w:tcW w:w="1176" w:type="dxa"/>
          </w:tcPr>
          <w:p w14:paraId="403A8EDF" w14:textId="77777777" w:rsidR="001F08BA" w:rsidRDefault="00000000">
            <w:r>
              <w:t>Thiếu dẫn chứng khoa học, độ tin cậy thấp</w:t>
            </w:r>
          </w:p>
        </w:tc>
      </w:tr>
    </w:tbl>
    <w:p w14:paraId="709C54A1" w14:textId="77777777" w:rsidR="001F08BA" w:rsidRDefault="00000000">
      <w:r>
        <w:br/>
        <w:t>III. Tổng hợp kết quả và phân tích</w:t>
      </w:r>
      <w:r>
        <w:br/>
      </w:r>
      <w:r>
        <w:br/>
      </w:r>
      <w:r>
        <w:lastRenderedPageBreak/>
        <w:t>Từ kết quả đánh giá CRAAP, có thể thấy rằng các tài liệu chính thống từ nhà cung cấp và các bài nghiên cứu học thuật mang lại độ tin cậy cao hơn so với các bài viết mang tính cá nhân hoặc tiếp thị.</w:t>
      </w:r>
      <w:r>
        <w:br/>
      </w:r>
      <w:r>
        <w:br/>
        <w:t>Hệ quản trị CSDL SQL có ưu điểm nổi bật là mô hình dữ liệu chặt chẽ, đảm bảo tính toàn vẹn và nhất quán dữ liệu theo nguyên tắc ACID. Do đó, SQL thường được sử dụng trong các hệ thống doanh nghiệp, ngân hàng, tài chính và các ứng dụng yêu cầu độ chính xác cao.</w:t>
      </w:r>
      <w:r>
        <w:br/>
      </w:r>
      <w:r>
        <w:br/>
        <w:t>Ngược lại, các hệ quản trị CSDL NoSQL mang lại sự linh hoạt về cấu trúc dữ liệu và khả năng mở rộng theo chiều ngang, phù hợp với các hệ thống xử lý dữ liệu lớn, mạng xã hội, IoT và các ứng dụng web thời gian thực. Tuy nhiên, một số hệ NoSQL có thể đánh đổi tính nhất quán để đạt hiệu năng cao.</w:t>
      </w:r>
      <w:r>
        <w:br/>
      </w:r>
      <w:r>
        <w:br/>
        <w:t>Qua đó có thể thấy, không có hệ quản trị CSDL nào là tối ưu cho mọi bài toán. Việc lựa chọn SQL hay NoSQL phụ thuộc vào yêu cầu cụ thể của hệ thống. Đồng thời, khi đánh giá thông tin, sinh viên cần nhận thức được thiên kiến của nhà cung cấp và ưu tiên sử dụng các nguồn học thuật trung lập.</w:t>
      </w:r>
      <w:r>
        <w:br/>
      </w:r>
    </w:p>
    <w:p w14:paraId="38678BF7" w14:textId="4AFF8004" w:rsidR="001F08BA" w:rsidRDefault="00000000">
      <w:r>
        <w:br/>
        <w:t>IV. Danh mục tài liệu tham khảo (chuẩn IEEE)</w:t>
      </w:r>
      <w:r>
        <w:br/>
      </w:r>
      <w:r>
        <w:br/>
      </w:r>
      <w:hyperlink r:id="rId6" w:history="1">
        <w:r w:rsidRPr="002328D4">
          <w:rPr>
            <w:rStyle w:val="Hyperlink"/>
          </w:rPr>
          <w:t>[</w:t>
        </w:r>
        <w:r w:rsidRPr="002328D4">
          <w:rPr>
            <w:rStyle w:val="Hyperlink"/>
          </w:rPr>
          <w:t>1</w:t>
        </w:r>
        <w:r w:rsidRPr="002328D4">
          <w:rPr>
            <w:rStyle w:val="Hyperlink"/>
          </w:rPr>
          <w:t>]</w:t>
        </w:r>
      </w:hyperlink>
      <w:r>
        <w:t xml:space="preserve"> Oracle Corporation, “Oracle Database Concepts,” Oracle Documentation, 2023.</w:t>
      </w:r>
      <w:r>
        <w:br/>
      </w:r>
      <w:r>
        <w:br/>
      </w:r>
      <w:hyperlink r:id="rId7" w:history="1">
        <w:r w:rsidRPr="00602789">
          <w:rPr>
            <w:rStyle w:val="Hyperlink"/>
          </w:rPr>
          <w:t>[2</w:t>
        </w:r>
        <w:r w:rsidRPr="00602789">
          <w:rPr>
            <w:rStyle w:val="Hyperlink"/>
          </w:rPr>
          <w:t>]</w:t>
        </w:r>
      </w:hyperlink>
      <w:r>
        <w:t xml:space="preserve"> MongoDB Inc., “Introduction to MongoDB,” MongoDB Documentation, 2023.</w:t>
      </w:r>
      <w:r>
        <w:br/>
      </w:r>
      <w:r>
        <w:br/>
      </w:r>
      <w:hyperlink r:id="rId8" w:history="1">
        <w:r w:rsidRPr="00602789">
          <w:rPr>
            <w:rStyle w:val="Hyperlink"/>
          </w:rPr>
          <w:t>[3]</w:t>
        </w:r>
      </w:hyperlink>
      <w:r>
        <w:t xml:space="preserve"> M. Stonebraker et al., “SQL Databases v. NoSQL Databases,” Communications of the ACM, vol. 53, no. 4, pp. 10–11, 2010.</w:t>
      </w:r>
      <w:r>
        <w:br/>
      </w:r>
      <w:r>
        <w:br/>
      </w:r>
      <w:hyperlink r:id="rId9" w:history="1">
        <w:r w:rsidRPr="00C86BF1">
          <w:rPr>
            <w:rStyle w:val="Hyperlink"/>
          </w:rPr>
          <w:t>[</w:t>
        </w:r>
        <w:r w:rsidRPr="00C86BF1">
          <w:rPr>
            <w:rStyle w:val="Hyperlink"/>
          </w:rPr>
          <w:t>4</w:t>
        </w:r>
        <w:r w:rsidRPr="00C86BF1">
          <w:rPr>
            <w:rStyle w:val="Hyperlink"/>
          </w:rPr>
          <w:t>]</w:t>
        </w:r>
      </w:hyperlink>
      <w:r>
        <w:t xml:space="preserve"> R. Cattell, “Scalable SQL and NoSQL Data Stores,” ACM SIGMOD Record, vol. 39, no. 4, pp. 12–27, 2011.</w:t>
      </w:r>
      <w:r>
        <w:br/>
      </w:r>
    </w:p>
    <w:sectPr w:rsidR="001F08BA"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6823703">
    <w:abstractNumId w:val="8"/>
  </w:num>
  <w:num w:numId="2" w16cid:durableId="1986468363">
    <w:abstractNumId w:val="6"/>
  </w:num>
  <w:num w:numId="3" w16cid:durableId="1854489770">
    <w:abstractNumId w:val="5"/>
  </w:num>
  <w:num w:numId="4" w16cid:durableId="301808356">
    <w:abstractNumId w:val="4"/>
  </w:num>
  <w:num w:numId="5" w16cid:durableId="424307358">
    <w:abstractNumId w:val="7"/>
  </w:num>
  <w:num w:numId="6" w16cid:durableId="1352604154">
    <w:abstractNumId w:val="3"/>
  </w:num>
  <w:num w:numId="7" w16cid:durableId="234318366">
    <w:abstractNumId w:val="2"/>
  </w:num>
  <w:num w:numId="8" w16cid:durableId="824509626">
    <w:abstractNumId w:val="1"/>
  </w:num>
  <w:num w:numId="9" w16cid:durableId="1973052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F08BA"/>
    <w:rsid w:val="002328D4"/>
    <w:rsid w:val="0029639D"/>
    <w:rsid w:val="00326F90"/>
    <w:rsid w:val="0035188B"/>
    <w:rsid w:val="00602789"/>
    <w:rsid w:val="006A0A8A"/>
    <w:rsid w:val="007F093F"/>
    <w:rsid w:val="00AA1D8D"/>
    <w:rsid w:val="00B47730"/>
    <w:rsid w:val="00C86BF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CBAAA2"/>
  <w14:defaultImageDpi w14:val="300"/>
  <w15:docId w15:val="{01399922-2DA3-4600-AF04-94DCA1ABF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328D4"/>
    <w:rPr>
      <w:color w:val="0000FF" w:themeColor="hyperlink"/>
      <w:u w:val="single"/>
    </w:rPr>
  </w:style>
  <w:style w:type="character" w:styleId="UnresolvedMention">
    <w:name w:val="Unresolved Mention"/>
    <w:basedOn w:val="DefaultParagraphFont"/>
    <w:uiPriority w:val="99"/>
    <w:semiHidden/>
    <w:unhideWhenUsed/>
    <w:rsid w:val="002328D4"/>
    <w:rPr>
      <w:color w:val="605E5C"/>
      <w:shd w:val="clear" w:color="auto" w:fill="E1DFDD"/>
    </w:rPr>
  </w:style>
  <w:style w:type="character" w:styleId="FollowedHyperlink">
    <w:name w:val="FollowedHyperlink"/>
    <w:basedOn w:val="DefaultParagraphFont"/>
    <w:uiPriority w:val="99"/>
    <w:semiHidden/>
    <w:unhideWhenUsed/>
    <w:rsid w:val="002328D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l.acm.org/doi/10.1145/1721654.1721659" TargetMode="External"/><Relationship Id="rId3" Type="http://schemas.openxmlformats.org/officeDocument/2006/relationships/styles" Target="styles.xml"/><Relationship Id="rId7" Type="http://schemas.openxmlformats.org/officeDocument/2006/relationships/hyperlink" Target="https://www.mongodb.com/resources/products/fundamentals/webinar-introduction-to-mongodb"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cs.oracle.com/en/database/oracle/oracle-database/26/cncpt/database-concepts.pdf"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l.acm.org/doi/10.1145/1978915.19789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747</Words>
  <Characters>2835</Characters>
  <Application>Microsoft Office Word</Application>
  <DocSecurity>0</DocSecurity>
  <Lines>166</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hiep hiep</cp:lastModifiedBy>
  <cp:revision>3</cp:revision>
  <dcterms:created xsi:type="dcterms:W3CDTF">2026-02-05T04:30:00Z</dcterms:created>
  <dcterms:modified xsi:type="dcterms:W3CDTF">2026-02-05T04:33:00Z</dcterms:modified>
  <cp:category/>
</cp:coreProperties>
</file>