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40" w:lineRule="auto"/>
        <w:jc w:val="center"/>
      </w:pPr>
      <w:r>
        <w:rPr>
          <w:rFonts w:ascii="Times New Roman" w:hAnsi="Times New Roman"/>
          <w:b/>
          <w:i w:val="0"/>
          <w:sz w:val="22"/>
          <w:spacing w:val="10"/>
        </w:rPr>
        <w:t>BỘ GIÁO DỤC VÀ ĐÀO TẠO</w:t>
      </w:r>
    </w:p>
    <w:p>
      <w:pPr>
        <w:spacing w:before="0" w:after="0" w:line="240" w:lineRule="auto"/>
        <w:jc w:val="center"/>
      </w:pPr>
      <w:r>
        <w:rPr>
          <w:rFonts w:ascii="Times New Roman" w:hAnsi="Times New Roman"/>
          <w:b/>
          <w:i w:val="0"/>
          <w:sz w:val="24"/>
          <w:spacing w:val="10"/>
        </w:rPr>
        <w:t>TRƯỜNG ĐẠI HỌC QUY NHƠN</w:t>
      </w:r>
    </w:p>
    <w:p>
      <w:pPr>
        <w:spacing w:before="80" w:after="40" w:line="240" w:lineRule="auto"/>
        <w:jc w:val="center"/>
        <w:pBdr>
          <w:bottom w:val="single" w:sz="10" w:space="1" w:color="365F91"/>
        </w:pBdr>
      </w:pPr>
    </w:p>
    <w:p>
      <w:pPr>
        <w:spacing w:before="0" w:after="200" w:line="240" w:lineRule="auto"/>
        <w:jc w:val="both"/>
      </w:pPr>
      <w:r>
        <w:rPr>
          <w:rFonts w:ascii="Times New Roman" w:hAnsi="Times New Roman"/>
          <w:b w:val="0"/>
          <w:i w:val="0"/>
          <w:sz w:val="22"/>
        </w:rPr>
      </w:r>
    </w:p>
    <w:p>
      <w:pPr>
        <w:spacing w:before="400" w:after="120" w:line="240" w:lineRule="auto"/>
        <w:jc w:val="center"/>
      </w:pPr>
      <w:r>
        <w:rPr>
          <w:rFonts w:ascii="Times New Roman" w:hAnsi="Times New Roman"/>
          <w:b/>
          <w:i w:val="0"/>
          <w:sz w:val="28"/>
        </w:rPr>
        <w:t>ĐOÀN MINH HIẾU</w:t>
      </w:r>
    </w:p>
    <w:p>
      <w:pPr>
        <w:spacing w:before="0" w:after="120" w:line="240" w:lineRule="auto"/>
        <w:jc w:val="both"/>
      </w:pPr>
      <w:r>
        <w:rPr>
          <w:rFonts w:ascii="Times New Roman" w:hAnsi="Times New Roman"/>
          <w:b w:val="0"/>
          <w:i w:val="0"/>
          <w:sz w:val="22"/>
        </w:rPr>
      </w:r>
    </w:p>
    <w:p>
      <w:pPr>
        <w:spacing w:before="200" w:after="200" w:line="240" w:lineRule="auto"/>
        <w:jc w:val="center"/>
      </w:pPr>
      <w:r>
        <w:rPr>
          <w:rFonts w:ascii="Times New Roman" w:hAnsi="Times New Roman"/>
          <w:b/>
          <w:i w:val="0"/>
          <w:sz w:val="28"/>
        </w:rPr>
        <w:t>KẾT HỢP EFFICIENTNET VÀ U-NET XÂY DỰNG HỆ THỐNG PHÂN LOẠI VÀ PHÂN ĐOẠN BỆNH TRÊN LÁ SẦU RIÊNG</w:t>
      </w:r>
    </w:p>
    <w:p>
      <w:pPr>
        <w:spacing w:before="0" w:after="200" w:line="240" w:lineRule="auto"/>
        <w:jc w:val="both"/>
      </w:pPr>
      <w:r>
        <w:rPr>
          <w:rFonts w:ascii="Times New Roman" w:hAnsi="Times New Roman"/>
          <w:b w:val="0"/>
          <w:i w:val="0"/>
          <w:sz w:val="22"/>
        </w:rPr>
      </w:r>
    </w:p>
    <w:p>
      <w:pPr>
        <w:spacing w:before="120" w:after="120" w:line="240" w:lineRule="auto"/>
        <w:jc w:val="center"/>
        <w:pBdr>
          <w:bottom w:val="single" w:sz="6" w:space="1" w:color="808080"/>
        </w:pBdr>
      </w:pPr>
    </w:p>
    <w:p>
      <w:pPr>
        <w:spacing w:before="280" w:after="80" w:line="240" w:lineRule="auto"/>
        <w:jc w:val="center"/>
      </w:pPr>
      <w:r>
        <w:rPr>
          <w:rFonts w:ascii="Times New Roman" w:hAnsi="Times New Roman"/>
          <w:b/>
          <w:i w:val="0"/>
          <w:sz w:val="24"/>
        </w:rPr>
        <w:t>TÓM TẮT ĐỀ ÁN THẠC SĨ KHOA HỌC DỮ LIỆU</w:t>
      </w:r>
    </w:p>
    <w:p>
      <w:pPr>
        <w:spacing w:before="0" w:after="0" w:line="240" w:lineRule="auto"/>
        <w:jc w:val="center"/>
      </w:pPr>
      <w:r>
        <w:rPr>
          <w:rFonts w:ascii="Times New Roman" w:hAnsi="Times New Roman"/>
          <w:b w:val="0"/>
          <w:i w:val="0"/>
          <w:sz w:val="22"/>
        </w:rPr>
        <w:t>Ngành: Khoa học dữ liệu</w:t>
      </w:r>
    </w:p>
    <w:p>
      <w:pPr>
        <w:spacing w:before="0" w:after="0" w:line="240" w:lineRule="auto"/>
        <w:jc w:val="center"/>
      </w:pPr>
      <w:r>
        <w:rPr>
          <w:rFonts w:ascii="Times New Roman" w:hAnsi="Times New Roman"/>
          <w:b w:val="0"/>
          <w:i w:val="0"/>
          <w:sz w:val="22"/>
        </w:rPr>
        <w:t>Mã số: 8480101</w:t>
      </w:r>
    </w:p>
    <w:p>
      <w:pPr>
        <w:spacing w:before="0" w:after="400" w:line="240" w:lineRule="auto"/>
        <w:jc w:val="both"/>
      </w:pPr>
      <w:r>
        <w:rPr>
          <w:rFonts w:ascii="Times New Roman" w:hAnsi="Times New Roman"/>
          <w:b w:val="0"/>
          <w:i w:val="0"/>
          <w:sz w:val="22"/>
        </w:rPr>
      </w:r>
    </w:p>
    <w:p>
      <w:pPr>
        <w:spacing w:before="480" w:after="0" w:line="240" w:lineRule="auto"/>
        <w:jc w:val="center"/>
      </w:pPr>
      <w:r>
        <w:rPr>
          <w:rFonts w:ascii="Times New Roman" w:hAnsi="Times New Roman"/>
          <w:b/>
          <w:i w:val="0"/>
          <w:sz w:val="22"/>
        </w:rPr>
        <w:t>GIA LAI – NĂM 2026</w:t>
      </w:r>
    </w:p>
    <w:p>
      <w:r>
        <w:br w:type="page"/>
      </w:r>
    </w:p>
    <w:p>
      <w:pPr>
        <w:spacing w:before="160" w:after="0" w:line="240" w:lineRule="auto"/>
        <w:jc w:val="center"/>
      </w:pPr>
      <w:r>
        <w:rPr>
          <w:rFonts w:ascii="Times New Roman" w:hAnsi="Times New Roman"/>
          <w:b w:val="0"/>
          <w:i w:val="0"/>
          <w:sz w:val="22"/>
        </w:rPr>
        <w:t>Công trình được hoàn thành tại</w:t>
      </w:r>
    </w:p>
    <w:p>
      <w:pPr>
        <w:spacing w:before="0" w:after="120" w:line="240" w:lineRule="auto"/>
        <w:jc w:val="center"/>
      </w:pPr>
      <w:r>
        <w:rPr>
          <w:rFonts w:ascii="Times New Roman" w:hAnsi="Times New Roman"/>
          <w:b/>
          <w:i w:val="0"/>
          <w:sz w:val="24"/>
        </w:rPr>
        <w:t>TRƯỜNG ĐẠI HỌC QUY NHƠN</w:t>
      </w:r>
    </w:p>
    <w:p>
      <w:pPr>
        <w:spacing w:before="40" w:after="280" w:line="240" w:lineRule="auto"/>
        <w:jc w:val="center"/>
        <w:pBdr>
          <w:bottom w:val="single" w:sz="6" w:space="1" w:color="808080"/>
        </w:pBdr>
      </w:pPr>
    </w:p>
    <w:p>
      <w:pPr>
        <w:spacing w:before="120" w:after="0" w:line="340" w:lineRule="exact"/>
        <w:jc w:val="left"/>
      </w:pPr>
      <w:r>
        <w:rPr>
          <w:rFonts w:ascii="Times New Roman" w:hAnsi="Times New Roman"/>
          <w:b w:val="0"/>
          <w:i w:val="0"/>
          <w:sz w:val="22"/>
        </w:rPr>
        <w:t>Người hướng dẫn khoa học: ..............................................</w:t>
      </w:r>
    </w:p>
    <w:p>
      <w:pPr>
        <w:spacing w:before="0" w:after="280" w:line="340" w:lineRule="exact"/>
        <w:jc w:val="left"/>
      </w:pPr>
      <w:r>
        <w:rPr>
          <w:rFonts w:ascii="Times New Roman" w:hAnsi="Times New Roman"/>
          <w:b w:val="0"/>
          <w:i/>
          <w:sz w:val="22"/>
        </w:rPr>
        <w:t>(ghi rõ chức danh, học vị)</w:t>
      </w:r>
    </w:p>
    <w:p>
      <w:pPr>
        <w:spacing w:before="0" w:after="0" w:line="340" w:lineRule="exact"/>
        <w:jc w:val="left"/>
      </w:pPr>
      <w:r>
        <w:rPr>
          <w:rFonts w:ascii="Times New Roman" w:hAnsi="Times New Roman"/>
          <w:b w:val="0"/>
          <w:i w:val="0"/>
          <w:sz w:val="22"/>
        </w:rPr>
        <w:t>Phản biện 1: ..............................................</w:t>
      </w:r>
    </w:p>
    <w:p>
      <w:pPr>
        <w:spacing w:before="0" w:after="280" w:line="340" w:lineRule="exact"/>
        <w:jc w:val="left"/>
      </w:pPr>
      <w:r>
        <w:rPr>
          <w:rFonts w:ascii="Times New Roman" w:hAnsi="Times New Roman"/>
          <w:b w:val="0"/>
          <w:i w:val="0"/>
          <w:sz w:val="22"/>
        </w:rPr>
        <w:t>Phản biện 2: ..............................................</w:t>
      </w:r>
    </w:p>
    <w:p>
      <w:pPr>
        <w:spacing w:before="0" w:after="280" w:line="340" w:lineRule="exact"/>
        <w:jc w:val="both"/>
      </w:pPr>
      <w:r>
        <w:rPr>
          <w:rFonts w:ascii="Times New Roman" w:hAnsi="Times New Roman"/>
          <w:b w:val="0"/>
          <w:i w:val="0"/>
          <w:sz w:val="22"/>
        </w:rPr>
        <w:t>Đề án được bảo vệ tại Hội đồng đánh giá đề án thạc sĩ ngành Khoa học dữ liệu, họp tại Trường Đại học Quy Nhơn vào ngày ...... tháng ...... năm 2026.</w:t>
      </w:r>
    </w:p>
    <w:p>
      <w:pPr>
        <w:spacing w:before="0" w:after="20" w:line="340" w:lineRule="exact"/>
        <w:jc w:val="left"/>
      </w:pPr>
      <w:r>
        <w:rPr>
          <w:rFonts w:ascii="Times New Roman" w:hAnsi="Times New Roman"/>
          <w:b/>
          <w:i w:val="0"/>
          <w:sz w:val="22"/>
        </w:rPr>
        <w:t>Có thể tìm hiểu đề án tại:</w:t>
      </w:r>
    </w:p>
    <w:p>
      <w:pPr>
        <w:spacing w:before="0" w:after="0" w:line="340" w:lineRule="exact"/>
        <w:jc w:val="left"/>
      </w:pPr>
      <w:r>
        <w:rPr>
          <w:rFonts w:ascii="Times New Roman" w:hAnsi="Times New Roman"/>
          <w:b w:val="0"/>
          <w:i w:val="0"/>
          <w:sz w:val="22"/>
        </w:rPr>
        <w:t>– Trung tâm Số và Học liệu, Trường Đại học Quy Nhơn;</w:t>
      </w:r>
    </w:p>
    <w:p>
      <w:pPr>
        <w:spacing w:before="0" w:after="0" w:line="340" w:lineRule="exact"/>
        <w:jc w:val="left"/>
      </w:pPr>
      <w:r>
        <w:rPr>
          <w:rFonts w:ascii="Times New Roman" w:hAnsi="Times New Roman"/>
          <w:b w:val="0"/>
          <w:i w:val="0"/>
          <w:sz w:val="22"/>
        </w:rPr>
        <w:t>– Khoa Công nghệ Thông tin, Trường Đại học Quy Nhơn.</w:t>
      </w:r>
    </w:p>
    <w:p>
      <w:pPr>
        <w:sectPr>
          <w:pgSz w:w="8391" w:h="11906"/>
          <w:pgMar w:top="1134" w:right="1134" w:bottom="1134" w:left="1134" w:header="680" w:footer="680" w:gutter="0"/>
          <w:cols w:space="720"/>
          <w:docGrid w:linePitch="360"/>
        </w:sectPr>
      </w:pPr>
    </w:p>
    <w:p>
      <w:pPr>
        <w:spacing w:before="160" w:after="80" w:line="340" w:lineRule="exact"/>
        <w:jc w:val="left"/>
        <w:pBdr>
          <w:bottom w:val="single" w:sz="6" w:space="2" w:color="365F91"/>
        </w:pBdr>
      </w:pPr>
      <w:r>
        <w:rPr>
          <w:rFonts w:ascii="Times New Roman" w:hAnsi="Times New Roman"/>
          <w:b/>
          <w:i w:val="0"/>
          <w:color w:val="1F3B5B"/>
          <w:sz w:val="24"/>
        </w:rPr>
        <w:t>MỞ ĐẦU</w:t>
      </w:r>
    </w:p>
    <w:p>
      <w:pPr>
        <w:spacing w:before="100" w:after="20" w:line="340" w:lineRule="exact"/>
        <w:jc w:val="left"/>
      </w:pPr>
      <w:r>
        <w:rPr>
          <w:rFonts w:ascii="Times New Roman" w:hAnsi="Times New Roman"/>
          <w:b/>
          <w:i w:val="0"/>
          <w:color w:val="2E4A6B"/>
          <w:sz w:val="22"/>
        </w:rPr>
        <w:t>1. Lý do chọn đề tài</w:t>
      </w:r>
    </w:p>
    <w:p>
      <w:pPr>
        <w:spacing w:before="0" w:after="40" w:line="340" w:lineRule="exact"/>
        <w:jc w:val="both"/>
      </w:pPr>
      <w:r>
        <w:rPr>
          <w:rFonts w:ascii="Times New Roman" w:hAnsi="Times New Roman"/>
          <w:b w:val="0"/>
          <w:i w:val="0"/>
          <w:sz w:val="22"/>
        </w:rPr>
        <w:t>Sầu riêng (Durio zibethinus) là một trong những cây ăn quả nhiệt đới có giá trị kinh tế cao nhất khu vực Đông Nam Á; tại Việt Nam cây được canh tác tập trung ở Tây Nguyên, Đông Nam Bộ và đồng bằng sông Cửu Long. Do chu kỳ kiến thiết cơ bản kéo dài từ bốn đến sáu năm, mỗi tổn thất do sâu bệnh đều để lại hệ quả kinh tế lâu dài. Trong các nhóm bệnh hại, bệnh trên lá có vị trí đặc biệt: lá là cơ quan quang hợp nên diện tích tổn thương ảnh hưởng trực tiếp đến năng suất, đồng thời triệu chứng trên lá thường xuất hiện sớm hơn trên thân và quả, đóng vai trò chỉ báo để can thiệp kịp thời.</w:t>
      </w:r>
    </w:p>
    <w:p>
      <w:pPr>
        <w:spacing w:after="40" w:line="340" w:lineRule="exact"/>
        <w:jc w:val="both"/>
      </w:pPr>
      <w:r>
        <w:rPr>
          <w:rFonts w:ascii="Times New Roman" w:hAnsi="Times New Roman"/>
          <w:b/>
          <w:sz w:val="22"/>
        </w:rPr>
        <w:t xml:space="preserve">Khoảng trống nghiên cứu. </w:t>
      </w:r>
      <w:r>
        <w:rPr>
          <w:rFonts w:ascii="Times New Roman" w:hAnsi="Times New Roman"/>
          <w:sz w:val="22"/>
        </w:rPr>
        <w:t>Phương pháp chẩn đoán truyền thống dựa vào quan sát trực tiếp của cán bộ kỹ thuật, bộc lộ ba hạn chế: tốn công lao động khi diện tích lớn, kết quả chủ quan và thiếu nhất quán, và khó phân biệt các bệnh có hình thái tương tự. Học sâu đã chứng minh hiệu quả trong nhận dạng bệnh cây trồng, nhưng phần lớn nghiên cứu chỉ dừng ở mức phân loại ảnh – trả lời "ảnh này thuộc bệnh nào" mà không trả lời "vùng bệnh nằm ở đâu và rộng bao nhiêu". Đây chính là khoảng trống mà đề án hướng tới.</w:t>
      </w:r>
    </w:p>
    <w:p>
      <w:pPr>
        <w:spacing w:before="100" w:after="20" w:line="340" w:lineRule="exact"/>
        <w:jc w:val="left"/>
      </w:pPr>
      <w:r>
        <w:rPr>
          <w:rFonts w:ascii="Times New Roman" w:hAnsi="Times New Roman"/>
          <w:b/>
          <w:i w:val="0"/>
          <w:color w:val="2E4A6B"/>
          <w:sz w:val="22"/>
        </w:rPr>
        <w:t>2. Mục tiêu nghiên cứu</w:t>
      </w:r>
    </w:p>
    <w:p>
      <w:pPr>
        <w:spacing w:before="0" w:after="40" w:line="340" w:lineRule="exact"/>
        <w:jc w:val="both"/>
      </w:pPr>
      <w:r>
        <w:rPr>
          <w:rFonts w:ascii="Times New Roman" w:hAnsi="Times New Roman"/>
          <w:b w:val="0"/>
          <w:i w:val="0"/>
          <w:sz w:val="22"/>
        </w:rPr>
        <w:t>Mục tiêu tổng quát là xây dựng và đánh giá một quy trình học giám sát yếu hoàn chỉnh cho bài toán phát hiện bệnh lá sầu riêng, đi từ phân loại ảnh, qua giải thích bằng bản đồ kích hoạt, đến sinh nhãn giả và huấn luyện mô hình phân đoạn – toàn bộ mà không sử dụng bất kỳ nhãn thủ công nào ở mức điểm ảnh. Các mục tiêu cụ thể gồm: huấn luyện mô hình phân loại EfficientNet cho năm lớp; áp dụng Grad-CAM và Grad-CAM++ đa tỉ lệ để trực quan hóa vùng chú ý; thiết kế quy trình chuyển bản đồ nhiệt thành mặt nạ nhị phân với cơ chế kiểm soát độ phủ theo lớp; khảo sát mô hình nền tảng SAM trong vai trò bộ tinh chỉnh biên; và huấn luyện, so sánh ba thế hệ nhãn giả.</w:t>
      </w:r>
    </w:p>
    <w:p>
      <w:pPr>
        <w:spacing w:before="100" w:after="20" w:line="340" w:lineRule="exact"/>
        <w:jc w:val="left"/>
      </w:pPr>
      <w:r>
        <w:rPr>
          <w:rFonts w:ascii="Times New Roman" w:hAnsi="Times New Roman"/>
          <w:b/>
          <w:i w:val="0"/>
          <w:color w:val="2E4A6B"/>
          <w:sz w:val="22"/>
        </w:rPr>
        <w:t>3. Đối tượng và phạm vi nghiên cứu</w:t>
      </w:r>
    </w:p>
    <w:p>
      <w:pPr>
        <w:spacing w:before="0" w:after="40" w:line="340" w:lineRule="exact"/>
        <w:jc w:val="both"/>
      </w:pPr>
      <w:r>
        <w:rPr>
          <w:rFonts w:ascii="Times New Roman" w:hAnsi="Times New Roman"/>
          <w:b w:val="0"/>
          <w:i w:val="0"/>
          <w:sz w:val="22"/>
        </w:rPr>
        <w:t>Đối tượng là ảnh lá sầu riêng đơn lẻ ở độ phân giải 224×224 điểm ảnh. Bài toán phân loại là đa lớp (năm lớp, một nhãn mỗi ảnh); bài toán phân đoạn là nhị phân (phân biệt vùng bệnh với phần còn lại). Dữ liệu gồm 4.437 ảnh thuộc bốn lớp bệnh và một lớp lá khoẻ, nhãn mức ảnh do cán bộ chuyên môn nông nghiệp thẩm định.</w:t>
      </w:r>
    </w:p>
    <w:p>
      <w:pPr>
        <w:spacing w:before="100" w:after="20" w:line="340" w:lineRule="exact"/>
        <w:jc w:val="left"/>
      </w:pPr>
      <w:r>
        <w:rPr>
          <w:rFonts w:ascii="Times New Roman" w:hAnsi="Times New Roman"/>
          <w:b/>
          <w:i w:val="0"/>
          <w:color w:val="2E4A6B"/>
          <w:sz w:val="22"/>
        </w:rPr>
        <w:t>4. Phương pháp nghiên cứu</w:t>
      </w:r>
    </w:p>
    <w:p>
      <w:pPr>
        <w:spacing w:before="0" w:after="40" w:line="340" w:lineRule="exact"/>
        <w:jc w:val="both"/>
      </w:pPr>
      <w:r>
        <w:rPr>
          <w:rFonts w:ascii="Times New Roman" w:hAnsi="Times New Roman"/>
          <w:b w:val="0"/>
          <w:i w:val="0"/>
          <w:sz w:val="22"/>
        </w:rPr>
        <w:t>Đề án sử dụng phương pháp thực nghiệm trên cơ sở học sâu: học chuyển giao cho phân loại, phương pháp giải thích dựa trên gradient (họ Grad-CAM), sinh nhãn giả từ bản đồ chú ý, tinh chỉnh biên bằng mô hình nền tảng, và huấn luyện mô hình phân đoạn UNet++. Toàn bộ con số trong đề án được truy vết về đúng notebook và ô lệnh sinh ra chúng nhằm bảo đảm tính minh bạch và tái lập.</w:t>
      </w:r>
    </w:p>
    <w:p>
      <w:pPr>
        <w:spacing w:before="100" w:after="20" w:line="340" w:lineRule="exact"/>
        <w:jc w:val="left"/>
      </w:pPr>
      <w:r>
        <w:rPr>
          <w:rFonts w:ascii="Times New Roman" w:hAnsi="Times New Roman"/>
          <w:b/>
          <w:i w:val="0"/>
          <w:color w:val="2E4A6B"/>
          <w:sz w:val="22"/>
        </w:rPr>
        <w:t>5. Ý nghĩa khoa học và thực tiễn</w:t>
      </w:r>
    </w:p>
    <w:p>
      <w:pPr>
        <w:spacing w:before="0" w:after="40" w:line="340" w:lineRule="exact"/>
        <w:jc w:val="both"/>
      </w:pPr>
      <w:r>
        <w:rPr>
          <w:rFonts w:ascii="Times New Roman" w:hAnsi="Times New Roman"/>
          <w:b w:val="0"/>
          <w:i w:val="0"/>
          <w:sz w:val="22"/>
        </w:rPr>
        <w:t>Về khoa học, đề án đưa ra một quy trình học giám sát yếu bốn giai đoạn tái lập được và một phân tích trung thực về khả năng so sánh của các chỉ số phân đoạn khi thiếu nhãn chuẩn. Về thực tiễn, quy trình cho phép tận dụng nhãn mức ảnh vốn rẻ và sẵn có để tạo mặt nạ phân đoạn, hỗ trợ định vị và ước lượng mức độ bệnh phục vụ quyết định canh tác.</w:t>
      </w:r>
    </w:p>
    <w:p>
      <w:r>
        <w:br w:type="page"/>
      </w:r>
    </w:p>
    <w:p>
      <w:pPr>
        <w:spacing w:before="160" w:after="80" w:line="340" w:lineRule="exact"/>
        <w:jc w:val="left"/>
        <w:pBdr>
          <w:bottom w:val="single" w:sz="6" w:space="2" w:color="365F91"/>
        </w:pBdr>
      </w:pPr>
      <w:r>
        <w:rPr>
          <w:rFonts w:ascii="Times New Roman" w:hAnsi="Times New Roman"/>
          <w:b/>
          <w:i w:val="0"/>
          <w:color w:val="1F3B5B"/>
          <w:sz w:val="24"/>
        </w:rPr>
        <w:t>CHƯƠNG 1. CƠ SỞ LÝ THUYẾT VÀ NGHIÊN CỨU LIÊN QUAN</w:t>
      </w:r>
    </w:p>
    <w:p>
      <w:pPr>
        <w:spacing w:before="0" w:after="40" w:line="340" w:lineRule="exact"/>
        <w:jc w:val="both"/>
      </w:pPr>
      <w:r>
        <w:rPr>
          <w:rFonts w:ascii="Times New Roman" w:hAnsi="Times New Roman"/>
          <w:b w:val="0"/>
          <w:i w:val="0"/>
          <w:sz w:val="22"/>
        </w:rPr>
        <w:t>Chương này trình bày nền tảng của đề án. Mạng nơ-ron tích chập và học chuyển giao là cơ sở cho mô hình phân loại; kiến trúc EfficientNet được chọn vì cân bằng tốt giữa độ chính xác và chi phí tính toán nhờ cơ chế mở rộng đồng thời chiều sâu, chiều rộng và độ phân giải. Đối với phân đoạn, đề án dựa trên họ kiến trúc U-Net và biến thể UNet++ với các kết nối lồng nhau giúp hợp nhất đặc trưng đa tỉ lệ.</w:t>
      </w:r>
    </w:p>
    <w:p>
      <w:pPr>
        <w:spacing w:after="40" w:line="340" w:lineRule="exact"/>
        <w:jc w:val="both"/>
      </w:pPr>
      <w:r>
        <w:rPr>
          <w:rFonts w:ascii="Times New Roman" w:hAnsi="Times New Roman"/>
          <w:b/>
          <w:sz w:val="22"/>
        </w:rPr>
        <w:t xml:space="preserve">Hàm mất mát. </w:t>
      </w:r>
      <w:r>
        <w:rPr>
          <w:rFonts w:ascii="Times New Roman" w:hAnsi="Times New Roman"/>
          <w:sz w:val="22"/>
        </w:rPr>
        <w:t>Với dữ liệu mất cân bằng giữa vùng bệnh và vùng lành, đề án khảo sát Binary Cross-Entropy (bị chi phối bởi lớp nền), Dice Loss (tối ưu trực tiếp độ chồng lấp vùng), Focal Loss (hạ trọng số mẫu dễ) và hàm kết hợp FocalDice. Mô hình phân đoạn sử dụng FocalDice để cân bằng giữa độ phủ và độ sắc của biên.</w:t>
      </w:r>
    </w:p>
    <w:p>
      <w:pPr>
        <w:spacing w:after="40" w:line="340" w:lineRule="exact"/>
        <w:jc w:val="both"/>
      </w:pPr>
      <w:r>
        <w:rPr>
          <w:rFonts w:ascii="Times New Roman" w:hAnsi="Times New Roman"/>
          <w:b/>
          <w:sz w:val="22"/>
        </w:rPr>
        <w:t xml:space="preserve">Trí tuệ nhân tạo khả diễn giải. </w:t>
      </w:r>
      <w:r>
        <w:rPr>
          <w:rFonts w:ascii="Times New Roman" w:hAnsi="Times New Roman"/>
          <w:sz w:val="22"/>
        </w:rPr>
        <w:t>Nhóm phương pháp được trình bày theo tiến trình: Class Activation Map yêu cầu tầng gộp trung bình toàn cục; Grad-CAM tổng quát hóa bằng gradient nên áp dụng cho kiến trúc bất kỳ; Grad-CAM++ cải thiện định vị khi có nhiều vùng kích hoạt rời rạc – đúng đặc điểm của bệnh đốm lá. Kỹ thuật hợp nhất đa tỉ lệ lấy trung bình bản đồ ở nhiều tầng để vừa giữ ngữ nghĩa vừa bám chi tiết.</w:t>
      </w:r>
    </w:p>
    <w:p>
      <w:pPr>
        <w:spacing w:after="40" w:line="340" w:lineRule="exact"/>
        <w:jc w:val="both"/>
      </w:pPr>
      <w:r>
        <w:rPr>
          <w:rFonts w:ascii="Times New Roman" w:hAnsi="Times New Roman"/>
          <w:b/>
          <w:sz w:val="22"/>
        </w:rPr>
        <w:t xml:space="preserve">Học giám sát yếu và gán nhãn giả. </w:t>
      </w:r>
      <w:r>
        <w:rPr>
          <w:rFonts w:ascii="Times New Roman" w:hAnsi="Times New Roman"/>
          <w:sz w:val="22"/>
        </w:rPr>
        <w:t>Học giám sát yếu phân theo mức nhãn (ảnh, hộp bao, điểm); đề án làm việc với nhãn mức ảnh – rẻ nhất. Gán nhãn giả dùng chính đầu ra của mô hình (bản đồ chú ý) làm nhãn cho mô hình kế tiếp, với hạn chế cố hữu là nhãn giả kế thừa mọi sai lệch của nguồn sinh ra nó.</w:t>
      </w:r>
    </w:p>
    <w:p>
      <w:pPr>
        <w:spacing w:after="40" w:line="340" w:lineRule="exact"/>
        <w:jc w:val="both"/>
      </w:pPr>
      <w:r>
        <w:rPr>
          <w:rFonts w:ascii="Times New Roman" w:hAnsi="Times New Roman"/>
          <w:b/>
          <w:sz w:val="22"/>
        </w:rPr>
        <w:t xml:space="preserve">SAM và xử lý ảnh cổ điển. </w:t>
      </w:r>
      <w:r>
        <w:rPr>
          <w:rFonts w:ascii="Times New Roman" w:hAnsi="Times New Roman"/>
          <w:sz w:val="22"/>
        </w:rPr>
        <w:t>Mô hình nền tảng Segment Anything (SAM) được giới thiệu trong vai trò bộ tinh chỉnh nhãn, cùng các kỹ thuật xử lý ảnh cổ điển: ngưỡng hoá Otsu, phép toán hình thái, lọc thành phần liên thông, lọc song phương và trường ngẫu nhiên có điều kiện.</w:t>
      </w:r>
    </w:p>
    <w:p>
      <w:pPr>
        <w:spacing w:after="40" w:line="340" w:lineRule="exact"/>
        <w:jc w:val="both"/>
      </w:pPr>
      <w:r>
        <w:rPr>
          <w:rFonts w:ascii="Times New Roman" w:hAnsi="Times New Roman"/>
          <w:b/>
          <w:sz w:val="22"/>
        </w:rPr>
        <w:t xml:space="preserve">Chỉ số đánh giá. </w:t>
      </w:r>
      <w:r>
        <w:rPr>
          <w:rFonts w:ascii="Times New Roman" w:hAnsi="Times New Roman"/>
          <w:sz w:val="22"/>
        </w:rPr>
        <w:t>Phân loại dùng Accuracy và F1 có trọng số; phân đoạn dùng IoU và hệ số Dice. Một ghi chú quan trọng: khi không có nhãn chuẩn, IoU và Dice chỉ đo mức độ mô hình tái tạo lại chính bộ nhãn giả nó được huấn luyện trên đó, chứ không đo độ chính xác so với vùng bệnh thật – nền tảng cho phân tích ở Chương 3.</w:t>
      </w:r>
    </w:p>
    <w:p>
      <w:pPr>
        <w:spacing w:before="0" w:after="40" w:line="340" w:lineRule="exact"/>
        <w:jc w:val="both"/>
      </w:pPr>
      <w:r>
        <w:rPr>
          <w:rFonts w:ascii="Times New Roman" w:hAnsi="Times New Roman"/>
          <w:b w:val="0"/>
          <w:i w:val="0"/>
          <w:sz w:val="22"/>
        </w:rPr>
        <w:t>Về nghiên cứu liên quan, học sâu trong phát hiện bệnh cây trồng đã đạt độ chính xác phân loại cao trên nhiều loại cây, từ công trình nền tảng trên bộ PlantVillage đến các khảo sát tổng quan gần đây. Tuy nhiên hầu hết dừng ở phân loại ảnh và phụ thuộc nhãn dày đặc khi cần phân đoạn. Vị trí của đề án là lấp khoảng trống này bằng một quy trình học giám sát yếu không cần nhãn thủ công ở mức điểm ảnh.</w:t>
      </w:r>
    </w:p>
    <w:p>
      <w:r>
        <w:br w:type="page"/>
      </w:r>
    </w:p>
    <w:p>
      <w:pPr>
        <w:spacing w:before="160" w:after="80" w:line="340" w:lineRule="exact"/>
        <w:jc w:val="left"/>
        <w:pBdr>
          <w:bottom w:val="single" w:sz="6" w:space="2" w:color="365F91"/>
        </w:pBdr>
      </w:pPr>
      <w:r>
        <w:rPr>
          <w:rFonts w:ascii="Times New Roman" w:hAnsi="Times New Roman"/>
          <w:b/>
          <w:i w:val="0"/>
          <w:color w:val="1F3B5B"/>
          <w:sz w:val="24"/>
        </w:rPr>
        <w:t>CHƯƠNG 2. PHƯƠNG PHÁP ĐỀ XUẤT</w:t>
      </w:r>
    </w:p>
    <w:p>
      <w:pPr>
        <w:spacing w:before="0" w:after="40" w:line="340" w:lineRule="exact"/>
        <w:jc w:val="both"/>
      </w:pPr>
      <w:r>
        <w:rPr>
          <w:rFonts w:ascii="Times New Roman" w:hAnsi="Times New Roman"/>
          <w:b w:val="0"/>
          <w:i w:val="0"/>
          <w:sz w:val="22"/>
        </w:rPr>
        <w:t>Đề án đề xuất một quy trình bốn giai đoạn: phân loại ảnh bằng EfficientNet-B0, giải thích bằng Grad-CAM++ đa tỉ lệ, tinh chỉnh biên bằng SAM, và phân đoạn bằng UNet++. Trước khi mô hình hóa, một bước phân tích khám phá dữ liệu được thực hiện để hiểu phân bố lớp và đặc trưng màu sắc, từ đó dự báo trước các cặp lớp dễ nhầm lẫn.</w:t>
      </w:r>
    </w:p>
    <w:p>
      <w:pPr>
        <w:spacing w:before="120" w:after="20" w:line="240" w:lineRule="auto"/>
        <w:jc w:val="center"/>
      </w:pPr>
      <w:r>
        <w:drawing>
          <wp:inline xmlns:a="http://schemas.openxmlformats.org/drawingml/2006/main" xmlns:pic="http://schemas.openxmlformats.org/drawingml/2006/picture">
            <wp:extent cx="4032000" cy="1158038"/>
            <wp:docPr id="1" name="Picture 1"/>
            <wp:cNvGraphicFramePr>
              <a:graphicFrameLocks noChangeAspect="1"/>
            </wp:cNvGraphicFramePr>
            <a:graphic>
              <a:graphicData uri="http://schemas.openxmlformats.org/drawingml/2006/picture">
                <pic:pic>
                  <pic:nvPicPr>
                    <pic:cNvPr id="0" name="_pipeline_tomtat.png"/>
                    <pic:cNvPicPr/>
                  </pic:nvPicPr>
                  <pic:blipFill>
                    <a:blip r:embed="rId10"/>
                    <a:stretch>
                      <a:fillRect/>
                    </a:stretch>
                  </pic:blipFill>
                  <pic:spPr>
                    <a:xfrm>
                      <a:off x="0" y="0"/>
                      <a:ext cx="4032000" cy="1158038"/>
                    </a:xfrm>
                    <a:prstGeom prst="rect"/>
                  </pic:spPr>
                </pic:pic>
              </a:graphicData>
            </a:graphic>
          </wp:inline>
        </w:drawing>
      </w:r>
    </w:p>
    <w:p>
      <w:pPr>
        <w:spacing w:before="0" w:after="120" w:line="240" w:lineRule="auto"/>
        <w:jc w:val="center"/>
      </w:pPr>
      <w:r>
        <w:rPr>
          <w:rFonts w:ascii="Times New Roman" w:hAnsi="Times New Roman"/>
          <w:b/>
          <w:i w:val="0"/>
          <w:sz w:val="20"/>
        </w:rPr>
        <w:t>Hình 1. Tổng quan quy trình học giám sát yếu bốn giai đoạn</w:t>
      </w:r>
    </w:p>
    <w:p>
      <w:pPr>
        <w:spacing w:after="40" w:line="340" w:lineRule="exact"/>
        <w:jc w:val="both"/>
      </w:pPr>
      <w:r>
        <w:rPr>
          <w:rFonts w:ascii="Times New Roman" w:hAnsi="Times New Roman"/>
          <w:b/>
          <w:sz w:val="22"/>
        </w:rPr>
        <w:t xml:space="preserve">Phân tích khám phá dữ liệu. </w:t>
      </w:r>
      <w:r>
        <w:rPr>
          <w:rFonts w:ascii="Times New Roman" w:hAnsi="Times New Roman"/>
          <w:sz w:val="22"/>
        </w:rPr>
        <w:t>Bộ dữ liệu gồm 4.437 ảnh phân bố trên năm lớp. Phân tích màu cho thấy hai lớp Algal Leaf Spot và Phomopsis Leaf Spot có phân bố kênh màu chồng lấn nhiều nhất, dự báo đây là cặp dễ nhầm lẫn nhất – nhận định về sau được kiểm chứng ở kết quả phân loại.</w:t>
      </w:r>
    </w:p>
    <w:p>
      <w:pPr>
        <w:spacing w:before="120" w:after="20" w:line="240" w:lineRule="auto"/>
        <w:jc w:val="center"/>
      </w:pPr>
      <w:r>
        <w:drawing>
          <wp:inline xmlns:a="http://schemas.openxmlformats.org/drawingml/2006/main" xmlns:pic="http://schemas.openxmlformats.org/drawingml/2006/picture">
            <wp:extent cx="4032000" cy="1541214"/>
            <wp:docPr id="2" name="Picture 2"/>
            <wp:cNvGraphicFramePr>
              <a:graphicFrameLocks noChangeAspect="1"/>
            </wp:cNvGraphicFramePr>
            <a:graphic>
              <a:graphicData uri="http://schemas.openxmlformats.org/drawingml/2006/picture">
                <pic:pic>
                  <pic:nvPicPr>
                    <pic:cNvPr id="0" name="eda_class_distribution.png"/>
                    <pic:cNvPicPr/>
                  </pic:nvPicPr>
                  <pic:blipFill>
                    <a:blip r:embed="rId11"/>
                    <a:stretch>
                      <a:fillRect/>
                    </a:stretch>
                  </pic:blipFill>
                  <pic:spPr>
                    <a:xfrm>
                      <a:off x="0" y="0"/>
                      <a:ext cx="4032000" cy="1541214"/>
                    </a:xfrm>
                    <a:prstGeom prst="rect"/>
                  </pic:spPr>
                </pic:pic>
              </a:graphicData>
            </a:graphic>
          </wp:inline>
        </w:drawing>
      </w:r>
    </w:p>
    <w:p>
      <w:pPr>
        <w:spacing w:before="0" w:after="120" w:line="240" w:lineRule="auto"/>
        <w:jc w:val="center"/>
      </w:pPr>
      <w:r>
        <w:rPr>
          <w:rFonts w:ascii="Times New Roman" w:hAnsi="Times New Roman"/>
          <w:b/>
          <w:i w:val="0"/>
          <w:sz w:val="20"/>
        </w:rPr>
        <w:t>Hình 2. Phân bố số lượng ảnh theo năm lớp trong bộ dữ liệu</w:t>
      </w:r>
    </w:p>
    <w:p>
      <w:pPr>
        <w:spacing w:before="100" w:after="20" w:line="340" w:lineRule="exact"/>
        <w:jc w:val="left"/>
      </w:pPr>
      <w:r>
        <w:rPr>
          <w:rFonts w:ascii="Times New Roman" w:hAnsi="Times New Roman"/>
          <w:b/>
          <w:i w:val="0"/>
          <w:color w:val="2E4A6B"/>
          <w:sz w:val="22"/>
        </w:rPr>
        <w:t>Cơ chế ngưỡng phân vị theo lớp</w:t>
      </w:r>
    </w:p>
    <w:p>
      <w:pPr>
        <w:spacing w:before="0" w:after="40" w:line="340" w:lineRule="exact"/>
        <w:jc w:val="both"/>
      </w:pPr>
      <w:r>
        <w:rPr>
          <w:rFonts w:ascii="Times New Roman" w:hAnsi="Times New Roman"/>
          <w:b w:val="0"/>
          <w:i w:val="0"/>
          <w:sz w:val="22"/>
        </w:rPr>
        <w:t>Thay cho ngưỡng Otsu vốn giả định phân bố hai đỉnh và gây phân đoạn thừa khi bản đồ nhiệt được hợp nhất đa tỉ lệ, đề án đề xuất ngưỡng phân vị theo từng lớp (per-class percentile thresholding), cho phép kiểm soát trực tiếp độ phủ của mặt nạ theo đặc điểm từng bệnh. Cơ chế này đạt độ phủ mục tiêu với sai lệch dưới 0,4 điểm phần trăm cho mọi lớp.</w:t>
      </w:r>
    </w:p>
    <w:p>
      <w:pPr>
        <w:spacing w:before="100" w:after="20" w:line="340" w:lineRule="exact"/>
        <w:jc w:val="left"/>
      </w:pPr>
      <w:r>
        <w:rPr>
          <w:rFonts w:ascii="Times New Roman" w:hAnsi="Times New Roman"/>
          <w:b/>
          <w:i w:val="0"/>
          <w:color w:val="2E4A6B"/>
          <w:sz w:val="22"/>
        </w:rPr>
        <w:t>Ba thế hệ nhãn giả V1–V3</w:t>
      </w:r>
    </w:p>
    <w:p>
      <w:pPr>
        <w:spacing w:after="40" w:line="340" w:lineRule="exact"/>
        <w:jc w:val="both"/>
      </w:pPr>
      <w:r>
        <w:rPr>
          <w:rFonts w:ascii="Times New Roman" w:hAnsi="Times New Roman"/>
          <w:b/>
          <w:sz w:val="22"/>
        </w:rPr>
        <w:t xml:space="preserve">V1. </w:t>
      </w:r>
      <w:r>
        <w:rPr>
          <w:rFonts w:ascii="Times New Roman" w:hAnsi="Times New Roman"/>
          <w:sz w:val="22"/>
        </w:rPr>
        <w:t>Sinh trực tiếp từ bản đồ nhiệt Grad-CAM++ phóng từ 7×7 lên 224×224, cho các khối tròn lớn và trơn; là đường cơ sở bộc lộ vấn đề phân đoạn thừa và nhiễu ở lớp lá khoẻ.</w:t>
      </w:r>
    </w:p>
    <w:p>
      <w:pPr>
        <w:spacing w:after="40" w:line="340" w:lineRule="exact"/>
        <w:jc w:val="both"/>
      </w:pPr>
      <w:r>
        <w:rPr>
          <w:rFonts w:ascii="Times New Roman" w:hAnsi="Times New Roman"/>
          <w:b/>
          <w:sz w:val="22"/>
        </w:rPr>
        <w:t xml:space="preserve">V2. </w:t>
      </w:r>
      <w:r>
        <w:rPr>
          <w:rFonts w:ascii="Times New Roman" w:hAnsi="Times New Roman"/>
          <w:sz w:val="22"/>
        </w:rPr>
        <w:t>Bổ sung ngưỡng phân vị theo lớp và ép mặt nạ lớp lá khoẻ về không, loại bỏ 683 mặt nạ nhiễu, cung cấp cho mô hình phân đoạn các mẫu âm sạch.</w:t>
      </w:r>
    </w:p>
    <w:p>
      <w:pPr>
        <w:spacing w:after="40" w:line="340" w:lineRule="exact"/>
        <w:jc w:val="both"/>
      </w:pPr>
      <w:r>
        <w:rPr>
          <w:rFonts w:ascii="Times New Roman" w:hAnsi="Times New Roman"/>
          <w:b/>
          <w:sz w:val="22"/>
        </w:rPr>
        <w:t xml:space="preserve">V3. </w:t>
      </w:r>
      <w:r>
        <w:rPr>
          <w:rFonts w:ascii="Times New Roman" w:hAnsi="Times New Roman"/>
          <w:sz w:val="22"/>
        </w:rPr>
        <w:t>Đưa nhãn V2 qua SAM (gợi ý điểm đặt trên vùng đốm) kèm cơ chế bảo vệ dựa trên IoU nhằm từ chối các mặt nạ trôi lệch.</w:t>
      </w:r>
    </w:p>
    <w:p>
      <w:pPr>
        <w:spacing w:before="0" w:after="40" w:line="340" w:lineRule="exact"/>
        <w:jc w:val="both"/>
      </w:pPr>
      <w:r>
        <w:rPr>
          <w:rFonts w:ascii="Times New Roman" w:hAnsi="Times New Roman"/>
          <w:b w:val="0"/>
          <w:i w:val="0"/>
          <w:sz w:val="22"/>
        </w:rPr>
        <w:t>Mô hình phân loại dùng EfficientNet-B0 khởi tạo từ trọng số học chuyển giao, tinh chỉnh trên năm lớp với tăng cường dữ liệu và bộ tối ưu thích nghi. Mô hình phân đoạn dùng UNet++ huấn luyện bằng FocalDice. Toàn bộ siêu tham số được liệt kê trong phụ lục của đề án nhằm bảo đảm khả năng tái tạo.</w:t>
      </w:r>
    </w:p>
    <w:p>
      <w:r>
        <w:br w:type="page"/>
      </w:r>
    </w:p>
    <w:p>
      <w:pPr>
        <w:spacing w:before="160" w:after="80" w:line="340" w:lineRule="exact"/>
        <w:jc w:val="left"/>
        <w:pBdr>
          <w:bottom w:val="single" w:sz="6" w:space="2" w:color="365F91"/>
        </w:pBdr>
      </w:pPr>
      <w:r>
        <w:rPr>
          <w:rFonts w:ascii="Times New Roman" w:hAnsi="Times New Roman"/>
          <w:b/>
          <w:i w:val="0"/>
          <w:color w:val="1F3B5B"/>
          <w:sz w:val="24"/>
        </w:rPr>
        <w:t>CHƯƠNG 3. KẾT QUẢ THỰC NGHIỆM</w:t>
      </w:r>
    </w:p>
    <w:p>
      <w:pPr>
        <w:spacing w:before="100" w:after="20" w:line="340" w:lineRule="exact"/>
        <w:jc w:val="left"/>
      </w:pPr>
      <w:r>
        <w:rPr>
          <w:rFonts w:ascii="Times New Roman" w:hAnsi="Times New Roman"/>
          <w:b/>
          <w:i w:val="0"/>
          <w:color w:val="2E4A6B"/>
          <w:sz w:val="22"/>
        </w:rPr>
        <w:t>3.1. Hiệu năng phân loại</w:t>
      </w:r>
    </w:p>
    <w:p>
      <w:pPr>
        <w:spacing w:before="0" w:after="40" w:line="340" w:lineRule="exact"/>
        <w:jc w:val="both"/>
      </w:pPr>
      <w:r>
        <w:rPr>
          <w:rFonts w:ascii="Times New Roman" w:hAnsi="Times New Roman"/>
          <w:b w:val="0"/>
          <w:i w:val="0"/>
          <w:sz w:val="22"/>
        </w:rPr>
        <w:t>Mô hình phân loại đạt 97,30% độ chính xác trên tập kiểm thử 890 ảnh, với F1 có trọng số 97,31%. Độ chính xác kiểm định tốt nhất đạt 98,19% tại epoch 11; khoảng cách 0,89 điểm phần trăm giữa hai giá trị cho thấy mô hình khái quát tốt. Cả năm lớp đều đạt F1 trên 95%.</w:t>
      </w:r>
    </w:p>
    <w:p>
      <w:pPr>
        <w:spacing w:before="120" w:after="20" w:line="240" w:lineRule="auto"/>
        <w:jc w:val="center"/>
      </w:pPr>
      <w:r>
        <w:drawing>
          <wp:inline xmlns:a="http://schemas.openxmlformats.org/drawingml/2006/main" xmlns:pic="http://schemas.openxmlformats.org/drawingml/2006/picture">
            <wp:extent cx="3312000" cy="2593912"/>
            <wp:docPr id="3" name="Picture 3"/>
            <wp:cNvGraphicFramePr>
              <a:graphicFrameLocks noChangeAspect="1"/>
            </wp:cNvGraphicFramePr>
            <a:graphic>
              <a:graphicData uri="http://schemas.openxmlformats.org/drawingml/2006/picture">
                <pic:pic>
                  <pic:nvPicPr>
                    <pic:cNvPr id="0" name="cls_confusion_matrix.png"/>
                    <pic:cNvPicPr/>
                  </pic:nvPicPr>
                  <pic:blipFill>
                    <a:blip r:embed="rId12"/>
                    <a:stretch>
                      <a:fillRect/>
                    </a:stretch>
                  </pic:blipFill>
                  <pic:spPr>
                    <a:xfrm>
                      <a:off x="0" y="0"/>
                      <a:ext cx="3312000" cy="2593912"/>
                    </a:xfrm>
                    <a:prstGeom prst="rect"/>
                  </pic:spPr>
                </pic:pic>
              </a:graphicData>
            </a:graphic>
          </wp:inline>
        </w:drawing>
      </w:r>
    </w:p>
    <w:p>
      <w:pPr>
        <w:spacing w:before="0" w:after="120" w:line="240" w:lineRule="auto"/>
        <w:jc w:val="center"/>
      </w:pPr>
      <w:r>
        <w:rPr>
          <w:rFonts w:ascii="Times New Roman" w:hAnsi="Times New Roman"/>
          <w:b/>
          <w:i w:val="0"/>
          <w:sz w:val="20"/>
        </w:rPr>
        <w:t>Hình 3. Ma trận nhầm lẫn của mô hình phân loại trên tập kiểm thử</w:t>
      </w:r>
    </w:p>
    <w:p>
      <w:pPr>
        <w:spacing w:before="0" w:after="40" w:line="340" w:lineRule="exact"/>
        <w:jc w:val="both"/>
      </w:pPr>
      <w:r>
        <w:rPr>
          <w:rFonts w:ascii="Times New Roman" w:hAnsi="Times New Roman"/>
          <w:b w:val="0"/>
          <w:i w:val="0"/>
          <w:sz w:val="22"/>
        </w:rPr>
        <w:t>Cặp nhầm lẫn chính là Algal Leaf Spot và Phomopsis Leaf Spot (5 trên 24 lỗi), đúng như dự báo từ phân tích khám phá dữ liệu. Đáng chú ý về mặt ứng dụng, tỉ lệ bỏ sót bệnh – ảnh bệnh bị phân loại thành lá khoẻ – chỉ 6 trên 694 ảnh (0,86%).</w:t>
      </w:r>
    </w:p>
    <w:p>
      <w:pPr>
        <w:spacing w:before="120" w:after="20" w:line="240" w:lineRule="auto"/>
        <w:jc w:val="center"/>
      </w:pPr>
      <w:r>
        <w:drawing>
          <wp:inline xmlns:a="http://schemas.openxmlformats.org/drawingml/2006/main" xmlns:pic="http://schemas.openxmlformats.org/drawingml/2006/picture">
            <wp:extent cx="4032000" cy="1656646"/>
            <wp:docPr id="4" name="Picture 4"/>
            <wp:cNvGraphicFramePr>
              <a:graphicFrameLocks noChangeAspect="1"/>
            </wp:cNvGraphicFramePr>
            <a:graphic>
              <a:graphicData uri="http://schemas.openxmlformats.org/drawingml/2006/picture">
                <pic:pic>
                  <pic:nvPicPr>
                    <pic:cNvPr id="0" name="cls_per_class_metrics.png"/>
                    <pic:cNvPicPr/>
                  </pic:nvPicPr>
                  <pic:blipFill>
                    <a:blip r:embed="rId13"/>
                    <a:stretch>
                      <a:fillRect/>
                    </a:stretch>
                  </pic:blipFill>
                  <pic:spPr>
                    <a:xfrm>
                      <a:off x="0" y="0"/>
                      <a:ext cx="4032000" cy="1656646"/>
                    </a:xfrm>
                    <a:prstGeom prst="rect"/>
                  </pic:spPr>
                </pic:pic>
              </a:graphicData>
            </a:graphic>
          </wp:inline>
        </w:drawing>
      </w:r>
    </w:p>
    <w:p>
      <w:pPr>
        <w:spacing w:before="0" w:after="120" w:line="240" w:lineRule="auto"/>
        <w:jc w:val="center"/>
      </w:pPr>
      <w:r>
        <w:rPr>
          <w:rFonts w:ascii="Times New Roman" w:hAnsi="Times New Roman"/>
          <w:b/>
          <w:i w:val="0"/>
          <w:sz w:val="20"/>
        </w:rPr>
        <w:t>Hình 4. Precision, Recall và F1 theo từng lớp bệnh</w:t>
      </w:r>
    </w:p>
    <w:p>
      <w:pPr>
        <w:spacing w:before="100" w:after="20" w:line="340" w:lineRule="exact"/>
        <w:jc w:val="left"/>
      </w:pPr>
      <w:r>
        <w:rPr>
          <w:rFonts w:ascii="Times New Roman" w:hAnsi="Times New Roman"/>
          <w:b/>
          <w:i w:val="0"/>
          <w:color w:val="2E4A6B"/>
          <w:sz w:val="22"/>
        </w:rPr>
        <w:t>3.2. Chất lượng bản đồ chú ý</w:t>
      </w:r>
    </w:p>
    <w:p>
      <w:pPr>
        <w:spacing w:before="0" w:after="40" w:line="340" w:lineRule="exact"/>
        <w:jc w:val="both"/>
      </w:pPr>
      <w:r>
        <w:rPr>
          <w:rFonts w:ascii="Times New Roman" w:hAnsi="Times New Roman"/>
          <w:b w:val="0"/>
          <w:i w:val="0"/>
          <w:sz w:val="22"/>
        </w:rPr>
        <w:t>Với bốn lớp bệnh, bản đồ chú ý tập trung đúng vào vùng tổn thương, độ tin cậy trung bình 0,971–0,991. Với lớp lá khoẻ, bản đồ chú ý khuếch tán khắp phiến lá, không có vùng trọng tâm: mặt nạ V1 cho lớp này có độ phủ trung bình 26,4%, cực đoan tới 59,1%.</w:t>
      </w:r>
    </w:p>
    <w:p>
      <w:pPr>
        <w:spacing w:before="120" w:after="20" w:line="240" w:lineRule="auto"/>
        <w:jc w:val="center"/>
      </w:pPr>
      <w:r>
        <w:drawing>
          <wp:inline xmlns:a="http://schemas.openxmlformats.org/drawingml/2006/main" xmlns:pic="http://schemas.openxmlformats.org/drawingml/2006/picture">
            <wp:extent cx="2664000" cy="4533970"/>
            <wp:docPr id="5" name="Picture 5"/>
            <wp:cNvGraphicFramePr>
              <a:graphicFrameLocks noChangeAspect="1"/>
            </wp:cNvGraphicFramePr>
            <a:graphic>
              <a:graphicData uri="http://schemas.openxmlformats.org/drawingml/2006/picture">
                <pic:pic>
                  <pic:nvPicPr>
                    <pic:cNvPr id="0" name="xai_gradcam_best.png"/>
                    <pic:cNvPicPr/>
                  </pic:nvPicPr>
                  <pic:blipFill>
                    <a:blip r:embed="rId14"/>
                    <a:stretch>
                      <a:fillRect/>
                    </a:stretch>
                  </pic:blipFill>
                  <pic:spPr>
                    <a:xfrm>
                      <a:off x="0" y="0"/>
                      <a:ext cx="2664000" cy="4533970"/>
                    </a:xfrm>
                    <a:prstGeom prst="rect"/>
                  </pic:spPr>
                </pic:pic>
              </a:graphicData>
            </a:graphic>
          </wp:inline>
        </w:drawing>
      </w:r>
    </w:p>
    <w:p>
      <w:pPr>
        <w:spacing w:before="0" w:after="120" w:line="240" w:lineRule="auto"/>
        <w:jc w:val="center"/>
      </w:pPr>
      <w:r>
        <w:rPr>
          <w:rFonts w:ascii="Times New Roman" w:hAnsi="Times New Roman"/>
          <w:b/>
          <w:i w:val="0"/>
          <w:sz w:val="20"/>
        </w:rPr>
        <w:t>Hình 5. Bản đồ chú ý Grad-CAM++ cho các lớp bệnh khác nhau</w:t>
      </w:r>
    </w:p>
    <w:p>
      <w:pPr>
        <w:spacing w:after="40" w:line="340" w:lineRule="exact"/>
        <w:jc w:val="both"/>
      </w:pPr>
      <w:r>
        <w:rPr>
          <w:rFonts w:ascii="Times New Roman" w:hAnsi="Times New Roman"/>
          <w:b/>
          <w:sz w:val="22"/>
        </w:rPr>
        <w:t xml:space="preserve">Luận điểm trung tâm. </w:t>
      </w:r>
      <w:r>
        <w:rPr>
          <w:rFonts w:ascii="Times New Roman" w:hAnsi="Times New Roman"/>
          <w:sz w:val="22"/>
        </w:rPr>
        <w:t>Đây là bằng chứng thực nghiệm cho thấy bản đồ chú ý trả lời câu hỏi "mô hình nhìn vào đâu để phân loại", không phải "vùng bệnh nằm ở đâu". Với lá khoẻ, mô hình nhận diện qua sự vắng mặt của dấu hiệu bệnh – hợp lý cho phân loại nhưng vô nghĩa khi chuyển thành mặt nạ. Nhận thức này dẫn tới việc ép mặt nạ lớp lá khoẻ về không, loại 683 mặt nạ nhiễu.</w:t>
      </w:r>
    </w:p>
    <w:p>
      <w:r>
        <w:br w:type="page"/>
      </w:r>
    </w:p>
    <w:p>
      <w:pPr>
        <w:spacing w:before="100" w:after="20" w:line="340" w:lineRule="exact"/>
        <w:jc w:val="left"/>
      </w:pPr>
      <w:r>
        <w:rPr>
          <w:rFonts w:ascii="Times New Roman" w:hAnsi="Times New Roman"/>
          <w:b/>
          <w:i w:val="0"/>
          <w:color w:val="2E4A6B"/>
          <w:sz w:val="22"/>
        </w:rPr>
        <w:t>3.3. Hiện tượng nở mặt nạ của SAM</w:t>
      </w:r>
    </w:p>
    <w:p>
      <w:pPr>
        <w:spacing w:before="0" w:after="40" w:line="340" w:lineRule="exact"/>
        <w:jc w:val="both"/>
      </w:pPr>
      <w:r>
        <w:rPr>
          <w:rFonts w:ascii="Times New Roman" w:hAnsi="Times New Roman"/>
          <w:b w:val="0"/>
          <w:i w:val="0"/>
          <w:sz w:val="22"/>
        </w:rPr>
        <w:t>SAM mở rộng độ phủ mặt nạ trung bình từ 15,04% lên 25,43% (tăng 69,1%), với mức tăng theo lớp từ 41,5% đến 95,7%. Có 200 trên 3.104 mặt nạ vượt quá 50% diện tích ảnh – bất khả thi với bệnh đốm lá. Nguyên nhân là SAM phân đoạn đơn vị ngữ nghĩa tự nhiên, mà với gợi ý điểm đặt trên đốm bệnh thì đơn vị đó thường là cả chiếc lá.</w:t>
      </w:r>
    </w:p>
    <w:p>
      <w:pPr>
        <w:spacing w:before="120" w:after="20" w:line="240" w:lineRule="auto"/>
        <w:jc w:val="center"/>
      </w:pPr>
      <w:r>
        <w:drawing>
          <wp:inline xmlns:a="http://schemas.openxmlformats.org/drawingml/2006/main" xmlns:pic="http://schemas.openxmlformats.org/drawingml/2006/picture">
            <wp:extent cx="3456000" cy="4017260"/>
            <wp:docPr id="6" name="Picture 6"/>
            <wp:cNvGraphicFramePr>
              <a:graphicFrameLocks noChangeAspect="1"/>
            </wp:cNvGraphicFramePr>
            <a:graphic>
              <a:graphicData uri="http://schemas.openxmlformats.org/drawingml/2006/picture">
                <pic:pic>
                  <pic:nvPicPr>
                    <pic:cNvPr id="0" name="sam_refinement.png"/>
                    <pic:cNvPicPr/>
                  </pic:nvPicPr>
                  <pic:blipFill>
                    <a:blip r:embed="rId15"/>
                    <a:stretch>
                      <a:fillRect/>
                    </a:stretch>
                  </pic:blipFill>
                  <pic:spPr>
                    <a:xfrm>
                      <a:off x="0" y="0"/>
                      <a:ext cx="3456000" cy="4017260"/>
                    </a:xfrm>
                    <a:prstGeom prst="rect"/>
                  </pic:spPr>
                </pic:pic>
              </a:graphicData>
            </a:graphic>
          </wp:inline>
        </w:drawing>
      </w:r>
    </w:p>
    <w:p>
      <w:pPr>
        <w:spacing w:before="0" w:after="120" w:line="240" w:lineRule="auto"/>
        <w:jc w:val="center"/>
      </w:pPr>
      <w:r>
        <w:rPr>
          <w:rFonts w:ascii="Times New Roman" w:hAnsi="Times New Roman"/>
          <w:b/>
          <w:i w:val="0"/>
          <w:sz w:val="20"/>
        </w:rPr>
        <w:t>Hình 6. Minh họa tinh chỉnh biên bằng SAM và hiện tượng nở mặt nạ</w:t>
      </w:r>
    </w:p>
    <w:p>
      <w:pPr>
        <w:spacing w:before="120" w:after="20" w:line="240" w:lineRule="auto"/>
        <w:jc w:val="center"/>
      </w:pPr>
      <w:r>
        <w:drawing>
          <wp:inline xmlns:a="http://schemas.openxmlformats.org/drawingml/2006/main" xmlns:pic="http://schemas.openxmlformats.org/drawingml/2006/picture">
            <wp:extent cx="4032000" cy="1433643"/>
            <wp:docPr id="7" name="Picture 7"/>
            <wp:cNvGraphicFramePr>
              <a:graphicFrameLocks noChangeAspect="1"/>
            </wp:cNvGraphicFramePr>
            <a:graphic>
              <a:graphicData uri="http://schemas.openxmlformats.org/drawingml/2006/picture">
                <pic:pic>
                  <pic:nvPicPr>
                    <pic:cNvPr id="0" name="pl2_coverage.png"/>
                    <pic:cNvPicPr/>
                  </pic:nvPicPr>
                  <pic:blipFill>
                    <a:blip r:embed="rId16"/>
                    <a:stretch>
                      <a:fillRect/>
                    </a:stretch>
                  </pic:blipFill>
                  <pic:spPr>
                    <a:xfrm>
                      <a:off x="0" y="0"/>
                      <a:ext cx="4032000" cy="1433643"/>
                    </a:xfrm>
                    <a:prstGeom prst="rect"/>
                  </pic:spPr>
                </pic:pic>
              </a:graphicData>
            </a:graphic>
          </wp:inline>
        </w:drawing>
      </w:r>
    </w:p>
    <w:p>
      <w:pPr>
        <w:spacing w:before="0" w:after="120" w:line="240" w:lineRule="auto"/>
        <w:jc w:val="center"/>
      </w:pPr>
      <w:r>
        <w:rPr>
          <w:rFonts w:ascii="Times New Roman" w:hAnsi="Times New Roman"/>
          <w:b/>
          <w:i w:val="0"/>
          <w:sz w:val="20"/>
        </w:rPr>
        <w:t>Hình 7. Kiểm soát độ phủ mặt nạ theo lớp bằng ngưỡng phân vị</w:t>
      </w:r>
    </w:p>
    <w:p>
      <w:pPr>
        <w:spacing w:before="100" w:after="20" w:line="340" w:lineRule="exact"/>
        <w:jc w:val="left"/>
      </w:pPr>
      <w:r>
        <w:rPr>
          <w:rFonts w:ascii="Times New Roman" w:hAnsi="Times New Roman"/>
          <w:b/>
          <w:i w:val="0"/>
          <w:color w:val="2E4A6B"/>
          <w:sz w:val="22"/>
        </w:rPr>
        <w:t>3.4. Kết quả phân đoạn và phân tích tách bạch</w:t>
      </w:r>
    </w:p>
    <w:p>
      <w:pPr>
        <w:spacing w:before="0" w:after="40" w:line="340" w:lineRule="exact"/>
        <w:jc w:val="both"/>
      </w:pPr>
      <w:r>
        <w:rPr>
          <w:rFonts w:ascii="Times New Roman" w:hAnsi="Times New Roman"/>
          <w:b w:val="0"/>
          <w:i w:val="0"/>
          <w:sz w:val="22"/>
        </w:rPr>
        <w:t>Xét theo hiệu quả huấn luyện, phiên bản V3 (nhãn tinh chỉnh bằng SAM) hội tụ sớm hơn V2: val_loss 0,4478 tại epoch 12 so với 0,5957 tại epoch 20. Nhãn SAM tuy sai về phạm vi nhưng đúng về cấu trúc – biên bám theo ranh giới thực và nhất quán giữa các ảnh – nên mô hình học được từ tính nhất quán đó.</w:t>
      </w:r>
    </w:p>
    <w:p>
      <w:pPr>
        <w:spacing w:before="120" w:after="20" w:line="240" w:lineRule="auto"/>
        <w:jc w:val="center"/>
      </w:pPr>
      <w:r>
        <w:drawing>
          <wp:inline xmlns:a="http://schemas.openxmlformats.org/drawingml/2006/main" xmlns:pic="http://schemas.openxmlformats.org/drawingml/2006/picture">
            <wp:extent cx="3744000" cy="3769567"/>
            <wp:docPr id="8" name="Picture 8"/>
            <wp:cNvGraphicFramePr>
              <a:graphicFrameLocks noChangeAspect="1"/>
            </wp:cNvGraphicFramePr>
            <a:graphic>
              <a:graphicData uri="http://schemas.openxmlformats.org/drawingml/2006/picture">
                <pic:pic>
                  <pic:nvPicPr>
                    <pic:cNvPr id="0" name="segv3_predictions.png"/>
                    <pic:cNvPicPr/>
                  </pic:nvPicPr>
                  <pic:blipFill>
                    <a:blip r:embed="rId17"/>
                    <a:stretch>
                      <a:fillRect/>
                    </a:stretch>
                  </pic:blipFill>
                  <pic:spPr>
                    <a:xfrm>
                      <a:off x="0" y="0"/>
                      <a:ext cx="3744000" cy="3769567"/>
                    </a:xfrm>
                    <a:prstGeom prst="rect"/>
                  </pic:spPr>
                </pic:pic>
              </a:graphicData>
            </a:graphic>
          </wp:inline>
        </w:drawing>
      </w:r>
    </w:p>
    <w:p>
      <w:pPr>
        <w:spacing w:before="0" w:after="120" w:line="240" w:lineRule="auto"/>
        <w:jc w:val="center"/>
      </w:pPr>
      <w:r>
        <w:rPr>
          <w:rFonts w:ascii="Times New Roman" w:hAnsi="Times New Roman"/>
          <w:b/>
          <w:i w:val="0"/>
          <w:sz w:val="20"/>
        </w:rPr>
        <w:t>Hình 8. Kết quả phân đoạn của mô hình UNet++ (phiên bản V3)</w:t>
      </w:r>
    </w:p>
    <w:p>
      <w:pPr>
        <w:spacing w:after="40" w:line="340" w:lineRule="exact"/>
        <w:jc w:val="both"/>
      </w:pPr>
      <w:r>
        <w:rPr>
          <w:rFonts w:ascii="Times New Roman" w:hAnsi="Times New Roman"/>
          <w:b/>
          <w:sz w:val="22"/>
        </w:rPr>
        <w:t xml:space="preserve">Cảnh báo phương pháp luận. </w:t>
      </w:r>
      <w:r>
        <w:rPr>
          <w:rFonts w:ascii="Times New Roman" w:hAnsi="Times New Roman"/>
          <w:sz w:val="22"/>
        </w:rPr>
        <w:t>Do bộ dữ liệu không có nhãn chuẩn ở mức điểm ảnh, mỗi phiên bản được đánh giá trên mốc tham chiếu của chính nó, nên các chỉ số IoU giữa các phiên bản không so sánh trực tiếp được. V1 có IoU 0,7671 cao nhất nhưng không phải phiên bản định vị bệnh tốt nhất – con số này chỉ phản ánh mục tiêu của V1 dễ tái tạo hơn. Phép so sánh hợp lệ duy nhất là V2 với V3, vì hai phiên bản dùng chung kiến trúc, hàm mất mát, bộ tối ưu, bộ tăng cường và cùng một tập kiểm thử. Mức cải thiện IoU 21,5% được xác định là cận trên.</w:t>
      </w:r>
    </w:p>
    <w:p>
      <w:pPr>
        <w:spacing w:before="120" w:after="40" w:line="240" w:lineRule="auto"/>
        <w:jc w:val="center"/>
      </w:pPr>
      <w:r>
        <w:rPr>
          <w:rFonts w:ascii="Times New Roman" w:hAnsi="Times New Roman"/>
          <w:b/>
          <w:i w:val="0"/>
          <w:sz w:val="20"/>
        </w:rPr>
        <w:t>Bảng 1. Tổng hợp kết quả chính của đề án</w:t>
      </w:r>
    </w:p>
    <w:tbl>
      <w:tblPr>
        <w:tblStyle w:val="TableGrid"/>
        <w:tblW w:type="auto" w:w="0"/>
        <w:tblLook w:firstColumn="1" w:firstRow="1" w:lastColumn="0" w:lastRow="0" w:noHBand="0" w:noVBand="1" w:val="04A0"/>
      </w:tblPr>
      <w:tblGrid>
        <w:gridCol w:w="3061"/>
        <w:gridCol w:w="3061"/>
      </w:tblGrid>
      <w:tr>
        <w:tc>
          <w:tcPr>
            <w:tcW w:type="dxa" w:w="3061"/>
            <w:shd w:val="clear" w:fill="D9E2F3"/>
          </w:tcPr>
          <w:p>
            <w:pPr>
              <w:spacing w:line="240" w:lineRule="auto"/>
              <w:jc w:val="left"/>
            </w:pPr>
            <w:r>
              <w:rPr>
                <w:rFonts w:ascii="Times New Roman" w:hAnsi="Times New Roman"/>
                <w:b/>
                <w:sz w:val="20"/>
              </w:rPr>
              <w:t>Hạng mục</w:t>
            </w:r>
          </w:p>
        </w:tc>
        <w:tc>
          <w:tcPr>
            <w:tcW w:type="dxa" w:w="3061"/>
            <w:shd w:val="clear" w:fill="D9E2F3"/>
          </w:tcPr>
          <w:p>
            <w:pPr>
              <w:spacing w:line="240" w:lineRule="auto"/>
              <w:jc w:val="left"/>
            </w:pPr>
            <w:r>
              <w:rPr>
                <w:rFonts w:ascii="Times New Roman" w:hAnsi="Times New Roman"/>
                <w:b/>
                <w:sz w:val="20"/>
              </w:rPr>
              <w:t>Kết quả</w:t>
            </w:r>
          </w:p>
        </w:tc>
      </w:tr>
      <w:tr>
        <w:tc>
          <w:tcPr>
            <w:tcW w:type="dxa" w:w="3061"/>
          </w:tcPr>
          <w:p>
            <w:pPr>
              <w:spacing w:line="260" w:lineRule="exact"/>
              <w:jc w:val="left"/>
            </w:pPr>
            <w:r>
              <w:rPr>
                <w:rFonts w:ascii="Times New Roman" w:hAnsi="Times New Roman"/>
                <w:b/>
                <w:sz w:val="20"/>
              </w:rPr>
              <w:t>Phân loại năm lớp bệnh</w:t>
            </w:r>
          </w:p>
        </w:tc>
        <w:tc>
          <w:tcPr>
            <w:tcW w:type="dxa" w:w="3061"/>
          </w:tcPr>
          <w:p>
            <w:pPr>
              <w:spacing w:line="260" w:lineRule="exact"/>
              <w:jc w:val="left"/>
            </w:pPr>
            <w:r>
              <w:rPr>
                <w:rFonts w:ascii="Times New Roman" w:hAnsi="Times New Roman"/>
                <w:sz w:val="20"/>
              </w:rPr>
              <w:t>Accuracy 97,30%, F1 97,31% trên 890 ảnh kiểm thử</w:t>
            </w:r>
          </w:p>
        </w:tc>
      </w:tr>
      <w:tr>
        <w:tc>
          <w:tcPr>
            <w:tcW w:type="dxa" w:w="3061"/>
          </w:tcPr>
          <w:p>
            <w:pPr>
              <w:spacing w:line="260" w:lineRule="exact"/>
              <w:jc w:val="left"/>
            </w:pPr>
            <w:r>
              <w:rPr>
                <w:rFonts w:ascii="Times New Roman" w:hAnsi="Times New Roman"/>
                <w:b/>
                <w:sz w:val="20"/>
              </w:rPr>
              <w:t>Độ chính xác kiểm định tốt nhất</w:t>
            </w:r>
          </w:p>
        </w:tc>
        <w:tc>
          <w:tcPr>
            <w:tcW w:type="dxa" w:w="3061"/>
          </w:tcPr>
          <w:p>
            <w:pPr>
              <w:spacing w:line="260" w:lineRule="exact"/>
              <w:jc w:val="left"/>
            </w:pPr>
            <w:r>
              <w:rPr>
                <w:rFonts w:ascii="Times New Roman" w:hAnsi="Times New Roman"/>
                <w:sz w:val="20"/>
              </w:rPr>
              <w:t>98,19% tại epoch 11</w:t>
            </w:r>
          </w:p>
        </w:tc>
      </w:tr>
      <w:tr>
        <w:tc>
          <w:tcPr>
            <w:tcW w:type="dxa" w:w="3061"/>
          </w:tcPr>
          <w:p>
            <w:pPr>
              <w:spacing w:line="260" w:lineRule="exact"/>
              <w:jc w:val="left"/>
            </w:pPr>
            <w:r>
              <w:rPr>
                <w:rFonts w:ascii="Times New Roman" w:hAnsi="Times New Roman"/>
                <w:b/>
                <w:sz w:val="20"/>
              </w:rPr>
              <w:t>Sinh nhãn giả</w:t>
            </w:r>
          </w:p>
        </w:tc>
        <w:tc>
          <w:tcPr>
            <w:tcW w:type="dxa" w:w="3061"/>
          </w:tcPr>
          <w:p>
            <w:pPr>
              <w:spacing w:line="260" w:lineRule="exact"/>
              <w:jc w:val="left"/>
            </w:pPr>
            <w:r>
              <w:rPr>
                <w:rFonts w:ascii="Times New Roman" w:hAnsi="Times New Roman"/>
                <w:sz w:val="20"/>
              </w:rPr>
              <w:t>3.104 mặt nạ, không dùng nhãn thủ công</w:t>
            </w:r>
          </w:p>
        </w:tc>
      </w:tr>
      <w:tr>
        <w:tc>
          <w:tcPr>
            <w:tcW w:type="dxa" w:w="3061"/>
          </w:tcPr>
          <w:p>
            <w:pPr>
              <w:spacing w:line="260" w:lineRule="exact"/>
              <w:jc w:val="left"/>
            </w:pPr>
            <w:r>
              <w:rPr>
                <w:rFonts w:ascii="Times New Roman" w:hAnsi="Times New Roman"/>
                <w:b/>
                <w:sz w:val="20"/>
              </w:rPr>
              <w:t>Kiểm soát độ phủ (V2)</w:t>
            </w:r>
          </w:p>
        </w:tc>
        <w:tc>
          <w:tcPr>
            <w:tcW w:type="dxa" w:w="3061"/>
          </w:tcPr>
          <w:p>
            <w:pPr>
              <w:spacing w:line="260" w:lineRule="exact"/>
              <w:jc w:val="left"/>
            </w:pPr>
            <w:r>
              <w:rPr>
                <w:rFonts w:ascii="Times New Roman" w:hAnsi="Times New Roman"/>
                <w:sz w:val="20"/>
              </w:rPr>
              <w:t>Sai lệch dưới 0,4 điểm phần trăm mọi lớp</w:t>
            </w:r>
          </w:p>
        </w:tc>
      </w:tr>
      <w:tr>
        <w:tc>
          <w:tcPr>
            <w:tcW w:type="dxa" w:w="3061"/>
          </w:tcPr>
          <w:p>
            <w:pPr>
              <w:spacing w:line="260" w:lineRule="exact"/>
              <w:jc w:val="left"/>
            </w:pPr>
            <w:r>
              <w:rPr>
                <w:rFonts w:ascii="Times New Roman" w:hAnsi="Times New Roman"/>
                <w:b/>
                <w:sz w:val="20"/>
              </w:rPr>
              <w:t>Loại nhãn nhiễu lớp lá khoẻ</w:t>
            </w:r>
          </w:p>
        </w:tc>
        <w:tc>
          <w:tcPr>
            <w:tcW w:type="dxa" w:w="3061"/>
          </w:tcPr>
          <w:p>
            <w:pPr>
              <w:spacing w:line="260" w:lineRule="exact"/>
              <w:jc w:val="left"/>
            </w:pPr>
            <w:r>
              <w:rPr>
                <w:rFonts w:ascii="Times New Roman" w:hAnsi="Times New Roman"/>
                <w:sz w:val="20"/>
              </w:rPr>
              <w:t>683 mặt nạ dương tính giả bị loại bỏ</w:t>
            </w:r>
          </w:p>
        </w:tc>
      </w:tr>
      <w:tr>
        <w:tc>
          <w:tcPr>
            <w:tcW w:type="dxa" w:w="3061"/>
          </w:tcPr>
          <w:p>
            <w:pPr>
              <w:spacing w:line="260" w:lineRule="exact"/>
              <w:jc w:val="left"/>
            </w:pPr>
            <w:r>
              <w:rPr>
                <w:rFonts w:ascii="Times New Roman" w:hAnsi="Times New Roman"/>
                <w:b/>
                <w:sz w:val="20"/>
              </w:rPr>
              <w:t>Hiệu quả tinh chỉnh bằng SAM</w:t>
            </w:r>
          </w:p>
        </w:tc>
        <w:tc>
          <w:tcPr>
            <w:tcW w:type="dxa" w:w="3061"/>
          </w:tcPr>
          <w:p>
            <w:pPr>
              <w:spacing w:line="260" w:lineRule="exact"/>
              <w:jc w:val="left"/>
            </w:pPr>
            <w:r>
              <w:rPr>
                <w:rFonts w:ascii="Times New Roman" w:hAnsi="Times New Roman"/>
                <w:sz w:val="20"/>
              </w:rPr>
              <w:t>IoU tăng 21,5% (cận trên), hội tụ sớm hơn 8 epoch</w:t>
            </w:r>
          </w:p>
        </w:tc>
      </w:tr>
      <w:tr>
        <w:tc>
          <w:tcPr>
            <w:tcW w:type="dxa" w:w="3061"/>
          </w:tcPr>
          <w:p>
            <w:pPr>
              <w:spacing w:line="260" w:lineRule="exact"/>
              <w:jc w:val="left"/>
            </w:pPr>
            <w:r>
              <w:rPr>
                <w:rFonts w:ascii="Times New Roman" w:hAnsi="Times New Roman"/>
                <w:b/>
                <w:sz w:val="20"/>
              </w:rPr>
              <w:t>Hiện tượng nở mặt nạ của SAM</w:t>
            </w:r>
          </w:p>
        </w:tc>
        <w:tc>
          <w:tcPr>
            <w:tcW w:type="dxa" w:w="3061"/>
          </w:tcPr>
          <w:p>
            <w:pPr>
              <w:spacing w:line="260" w:lineRule="exact"/>
              <w:jc w:val="left"/>
            </w:pPr>
            <w:r>
              <w:rPr>
                <w:rFonts w:ascii="Times New Roman" w:hAnsi="Times New Roman"/>
                <w:sz w:val="20"/>
              </w:rPr>
              <w:t>Độ phủ trung bình tăng 15,04% → 25,43%</w:t>
            </w:r>
          </w:p>
        </w:tc>
      </w:tr>
      <w:tr>
        <w:tc>
          <w:tcPr>
            <w:tcW w:type="dxa" w:w="3061"/>
          </w:tcPr>
          <w:p>
            <w:pPr>
              <w:spacing w:line="260" w:lineRule="exact"/>
              <w:jc w:val="left"/>
            </w:pPr>
            <w:r>
              <w:rPr>
                <w:rFonts w:ascii="Times New Roman" w:hAnsi="Times New Roman"/>
                <w:b/>
                <w:sz w:val="20"/>
              </w:rPr>
              <w:t>Tỉ lệ bỏ sót bệnh</w:t>
            </w:r>
          </w:p>
        </w:tc>
        <w:tc>
          <w:tcPr>
            <w:tcW w:type="dxa" w:w="3061"/>
          </w:tcPr>
          <w:p>
            <w:pPr>
              <w:spacing w:line="260" w:lineRule="exact"/>
              <w:jc w:val="left"/>
            </w:pPr>
            <w:r>
              <w:rPr>
                <w:rFonts w:ascii="Times New Roman" w:hAnsi="Times New Roman"/>
                <w:sz w:val="20"/>
              </w:rPr>
              <w:t>6/694 ảnh (0,86%)</w:t>
            </w:r>
          </w:p>
        </w:tc>
      </w:tr>
    </w:tbl>
    <w:p>
      <w:r>
        <w:br w:type="page"/>
      </w:r>
    </w:p>
    <w:p>
      <w:pPr>
        <w:spacing w:before="160" w:after="80" w:line="340" w:lineRule="exact"/>
        <w:jc w:val="left"/>
        <w:pBdr>
          <w:bottom w:val="single" w:sz="6" w:space="2" w:color="365F91"/>
        </w:pBdr>
      </w:pPr>
      <w:r>
        <w:rPr>
          <w:rFonts w:ascii="Times New Roman" w:hAnsi="Times New Roman"/>
          <w:b/>
          <w:i w:val="0"/>
          <w:color w:val="1F3B5B"/>
          <w:sz w:val="24"/>
        </w:rPr>
        <w:t>KẾT LUẬN VÀ HƯỚNG PHÁT TRIỂN</w:t>
      </w:r>
    </w:p>
    <w:p>
      <w:pPr>
        <w:spacing w:before="0" w:after="40" w:line="340" w:lineRule="exact"/>
        <w:jc w:val="both"/>
      </w:pPr>
      <w:r>
        <w:rPr>
          <w:rFonts w:ascii="Times New Roman" w:hAnsi="Times New Roman"/>
          <w:b w:val="0"/>
          <w:i w:val="0"/>
          <w:sz w:val="22"/>
        </w:rPr>
        <w:t>Đề án đã xây dựng và đánh giá một quy trình học giám sát yếu hoàn chỉnh cho bài toán phát hiện và phân đoạn bệnh lá sầu riêng, đi từ phân loại ảnh qua giải thích bằng bản đồ kích hoạt, sinh nhãn giả, tinh chỉnh biên bằng mô hình nền tảng, đến huấn luyện mô hình phân đoạn – toàn bộ mà không sử dụng nhãn thủ công nào ở mức điểm ảnh. Mô hình phân loại đạt 97,30% độ chính xác và toàn bộ 3.104 mặt nạ giả được sinh tự động.</w:t>
      </w:r>
    </w:p>
    <w:p>
      <w:pPr>
        <w:spacing w:after="40" w:line="340" w:lineRule="exact"/>
        <w:jc w:val="both"/>
      </w:pPr>
      <w:r>
        <w:rPr>
          <w:rFonts w:ascii="Times New Roman" w:hAnsi="Times New Roman"/>
          <w:b/>
          <w:sz w:val="22"/>
        </w:rPr>
        <w:t xml:space="preserve">Trả lời câu hỏi nghiên cứu. </w:t>
      </w:r>
      <w:r>
        <w:rPr>
          <w:rFonts w:ascii="Times New Roman" w:hAnsi="Times New Roman"/>
          <w:sz w:val="22"/>
        </w:rPr>
        <w:t>CH1: mô hình đạt 97,30% độ chính xác, cặp lớp dễ nhầm nhất là Algal và Phomopsis. CH2: bản đồ chú ý bám đúng vùng tổn thương với bốn lớp bệnh nhưng khuếch tán với lớp lá khoẻ. CH3: SAM làm nhãn xấu đi theo tiêu chí bệnh học nhưng cải thiện hiệu quả huấn luyện. CH4: các chỉ số IoU giữa các phiên bản dùng mốc tham chiếu khác nhau nên không so sánh trực tiếp được – kết luận phương pháp luận quan trọng nhất của đề án.</w:t>
      </w:r>
    </w:p>
    <w:p>
      <w:pPr>
        <w:spacing w:before="0" w:after="40" w:line="340" w:lineRule="exact"/>
        <w:jc w:val="both"/>
      </w:pPr>
      <w:r>
        <w:rPr>
          <w:rFonts w:ascii="Times New Roman" w:hAnsi="Times New Roman"/>
          <w:b w:val="0"/>
          <w:i w:val="0"/>
          <w:sz w:val="22"/>
        </w:rPr>
        <w:t>Đóng góp mà đề án coi trọng nhất không nằm ở con số hiệu năng, mà ở việc chỉ ra rằng trong khung học giám sát yếu, chính các con số ấy cần được đọc một cách thận trọng: phiên bản có IoU cao nhất không phải phiên bản định vị bệnh tốt nhất, một mô hình nền tảng có thể vừa làm hỏng nhãn vừa cải thiện kết quả huấn luyện, và một cơ chế bảo vệ tưởng hợp lý lại có thể bất lực trước đúng vấn đề nó được thiết kế để ngăn chặn.</w:t>
      </w:r>
    </w:p>
    <w:p>
      <w:pPr>
        <w:spacing w:before="100" w:after="20" w:line="340" w:lineRule="exact"/>
        <w:jc w:val="left"/>
      </w:pPr>
      <w:r>
        <w:rPr>
          <w:rFonts w:ascii="Times New Roman" w:hAnsi="Times New Roman"/>
          <w:b/>
          <w:i w:val="0"/>
          <w:color w:val="2E4A6B"/>
          <w:sz w:val="22"/>
        </w:rPr>
        <w:t>Hướng phát triển</w:t>
      </w:r>
    </w:p>
    <w:p>
      <w:pPr>
        <w:spacing w:after="40" w:line="340" w:lineRule="exact"/>
        <w:jc w:val="both"/>
      </w:pPr>
      <w:r>
        <w:rPr>
          <w:rFonts w:ascii="Times New Roman" w:hAnsi="Times New Roman"/>
          <w:b/>
          <w:sz w:val="22"/>
        </w:rPr>
        <w:t xml:space="preserve">Ưu tiên cao. </w:t>
      </w:r>
      <w:r>
        <w:rPr>
          <w:rFonts w:ascii="Times New Roman" w:hAnsi="Times New Roman"/>
          <w:sz w:val="22"/>
        </w:rPr>
        <w:t>Xây dựng tập kiểm thử có nhãn chuẩn (50–100 ảnh khoanh vùng thủ công) để đo hiệu năng định vị tuyệt đối và so sánh công bằng ba phiên bản; sửa cơ chế bảo vệ bất đối xứng về độ phủ rồi chạy lại giai đoạn tinh chỉnh; chuyển tiêu chí chọn điểm kiểm tra sang val_IoU để thu hồi khoảng 0,05 IoU.</w:t>
      </w:r>
    </w:p>
    <w:p>
      <w:pPr>
        <w:spacing w:after="40" w:line="340" w:lineRule="exact"/>
        <w:jc w:val="both"/>
      </w:pPr>
      <w:r>
        <w:rPr>
          <w:rFonts w:ascii="Times New Roman" w:hAnsi="Times New Roman"/>
          <w:b/>
          <w:sz w:val="22"/>
        </w:rPr>
        <w:t xml:space="preserve">Ưu tiên trung bình. </w:t>
      </w:r>
      <w:r>
        <w:rPr>
          <w:rFonts w:ascii="Times New Roman" w:hAnsi="Times New Roman"/>
          <w:sz w:val="22"/>
        </w:rPr>
        <w:t>Thiết kế lại thí nghiệm có kiểm soát chặt với nhiều hạt giống ngẫu nhiên; so sánh SAM với Dense CRF; khảo sát cường độ tăng cường dữ liệu.</w:t>
      </w:r>
    </w:p>
    <w:p>
      <w:pPr>
        <w:spacing w:after="40" w:line="340" w:lineRule="exact"/>
        <w:jc w:val="both"/>
      </w:pPr>
      <w:r>
        <w:rPr>
          <w:rFonts w:ascii="Times New Roman" w:hAnsi="Times New Roman"/>
          <w:b/>
          <w:sz w:val="22"/>
        </w:rPr>
        <w:t xml:space="preserve">Dài hạn. </w:t>
      </w:r>
      <w:r>
        <w:rPr>
          <w:rFonts w:ascii="Times New Roman" w:hAnsi="Times New Roman"/>
          <w:sz w:val="22"/>
        </w:rPr>
        <w:t>Mở rộng sang phân đoạn đa lớp, ước lượng mức độ bệnh, kiểm chứng trong điều kiện đồng ruộng và triển khai trên thiết bị biên phục vụ chẩn đoán tại vườn.</w:t>
      </w:r>
    </w:p>
    <w:sectPr w:rsidR="00FC693F" w:rsidRPr="0006063C" w:rsidSect="00034616">
      <w:headerReference w:type="default" r:id="rId9"/>
      <w:pgSz w:w="8391" w:h="11906"/>
      <w:pgMar w:top="1134" w:right="1134" w:bottom="1134" w:left="1134" w:header="680" w:footer="68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