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Durian Leaf Disease Detection Using Deep Learning with Explainable AI and Pseudo-Labeling</w:t>
      </w:r>
    </w:p>
    <w:p/>
    <w:p>
      <w:pPr>
        <w:jc w:val="center"/>
      </w:pPr>
      <w:r>
        <w:rPr>
          <w:rFonts w:ascii="Times New Roman" w:hAnsi="Times New Roman"/>
          <w:sz w:val="22"/>
        </w:rPr>
        <w:t>Author Name¹'², Co-Author Name³, Third Author⁴</w:t>
      </w:r>
    </w:p>
    <w:p>
      <w:pPr>
        <w:spacing w:line="276" w:lineRule="auto" w:after="120"/>
        <w:jc w:val="both"/>
      </w:pPr>
      <w:r>
        <w:rPr>
          <w:rFonts w:ascii="Times New Roman" w:hAnsi="Times New Roman"/>
          <w:b w:val="0"/>
          <w:i w:val="0"/>
          <w:sz w:val="22"/>
        </w:rPr>
        <w:t>¹Department of Computer Science, University Name, City, Country</w:t>
      </w:r>
    </w:p>
    <w:p>
      <w:pPr>
        <w:spacing w:line="276" w:lineRule="auto" w:after="120"/>
        <w:jc w:val="both"/>
      </w:pPr>
      <w:r>
        <w:rPr>
          <w:rFonts w:ascii="Times New Roman" w:hAnsi="Times New Roman"/>
          <w:b w:val="0"/>
          <w:i w:val="0"/>
          <w:sz w:val="22"/>
        </w:rPr>
        <w:t>²Department of AI Research, Institution Name, City, Country</w:t>
      </w:r>
    </w:p>
    <w:p>
      <w:pPr>
        <w:spacing w:line="276" w:lineRule="auto" w:after="120"/>
        <w:jc w:val="both"/>
      </w:pPr>
      <w:r>
        <w:rPr>
          <w:rFonts w:ascii="Times New Roman" w:hAnsi="Times New Roman"/>
          <w:b w:val="0"/>
          <w:i w:val="0"/>
          <w:sz w:val="22"/>
        </w:rPr>
        <w:t>³Department of Agriculture, University Name, City, Country</w:t>
      </w:r>
    </w:p>
    <w:p>
      <w:pPr>
        <w:spacing w:line="276" w:lineRule="auto" w:after="120"/>
        <w:jc w:val="both"/>
      </w:pPr>
      <w:r>
        <w:rPr>
          <w:rFonts w:ascii="Times New Roman" w:hAnsi="Times New Roman"/>
          <w:b w:val="0"/>
          <w:i w:val="0"/>
          <w:sz w:val="22"/>
        </w:rPr>
        <w:t>⁴Department of Engineering, University Name, City, Country</w:t>
      </w:r>
    </w:p>
    <w:p/>
    <w:p>
      <w:pPr>
        <w:pStyle w:val="Heading1"/>
        <w:jc w:val="left"/>
      </w:pPr>
      <w:r>
        <w:rPr>
          <w:rFonts w:ascii="Times New Roman" w:hAnsi="Times New Roman"/>
          <w:b/>
          <w:sz w:val="24"/>
        </w:rPr>
        <w:t>ABSTRACT</w:t>
      </w:r>
    </w:p>
    <w:p>
      <w:pPr>
        <w:spacing w:line="276" w:lineRule="auto" w:after="120"/>
        <w:jc w:val="both"/>
      </w:pPr>
      <w:r>
        <w:rPr>
          <w:rFonts w:ascii="Times New Roman" w:hAnsi="Times New Roman"/>
          <w:b w:val="0"/>
          <w:i w:val="0"/>
          <w:sz w:val="22"/>
        </w:rPr>
        <w:t>This paper presents a comprehensive approach for durian leaf disease detection using deep learning techniques combined with explainable AI (XAI) and pseudo-labeling strategies. We developed a multi-stage pipeline consisting of: (1) EfficientNet-B0 classification achieving 97.52% validation accuracy, (2) GradCAM++ explainability for generating pseudo-labels from 3,104 training images, (3) UNet++ segmentation model with SAM (Segment Anything Model) refinement achieving 0.6591 Dice score. The system identifies five disease classes: Algal Leaf Spot, Allocaridara Attack, Healthy Leaf, Leaf Blight, and Phomopsis Leaf Spot. Our approach addresses the challenge of limited labeled segmentation data by leveraging classification models to generate high-quality pseudo-labels through multi-scale GradCAM++ heatmaps. The SAM-refined segmentation masks demonstrate superior boundary accuracy compared to traditional GradCAM approaches. Experimental results show that our v3 pipeline (GradCAM++ + SAM refinement) outperforms baseline methods, providing both accurate disease classification and precise lesion localization for agricultural decision support systems.</w:t>
      </w:r>
    </w:p>
    <w:p>
      <w:pPr>
        <w:spacing w:line="276" w:lineRule="auto" w:after="120"/>
        <w:jc w:val="both"/>
      </w:pPr>
      <w:r>
        <w:rPr>
          <w:rFonts w:ascii="Times New Roman" w:hAnsi="Times New Roman"/>
          <w:b/>
          <w:i w:val="0"/>
          <w:sz w:val="22"/>
        </w:rPr>
        <w:t>Keywords: Durian leaf disease, Deep learning, EfficientNet, GradCAM++, Pseudo-labeling, UNet++, Segment Anything Model, Explainable AI, Agricultural AI</w:t>
      </w:r>
    </w:p>
    <w:p/>
    <w:p>
      <w:pPr>
        <w:pStyle w:val="Heading1"/>
        <w:jc w:val="left"/>
      </w:pPr>
      <w:r>
        <w:rPr>
          <w:rFonts w:ascii="Times New Roman" w:hAnsi="Times New Roman"/>
          <w:b/>
          <w:sz w:val="24"/>
        </w:rPr>
        <w:t>1. INTRODUCTION</w:t>
      </w:r>
    </w:p>
    <w:p>
      <w:pPr>
        <w:spacing w:line="276" w:lineRule="auto" w:after="120"/>
        <w:jc w:val="both"/>
      </w:pPr>
      <w:r>
        <w:rPr>
          <w:rFonts w:ascii="Times New Roman" w:hAnsi="Times New Roman"/>
          <w:b w:val="0"/>
          <w:i w:val="0"/>
          <w:sz w:val="22"/>
        </w:rPr>
        <w:t>Durian (Durio zibethinus) is an economically important tropical fruit crop in Southeast Asia, with Thailand, Malaysia, and Indonesia being major producers. However, durian cultivation faces significant challenges from various leaf diseases that can severely impact yield and fruit quality. Early and accurate detection of these diseases is crucial for timely intervention and crop management.</w:t>
      </w:r>
    </w:p>
    <w:p>
      <w:pPr>
        <w:spacing w:line="276" w:lineRule="auto" w:after="120"/>
        <w:jc w:val="both"/>
      </w:pPr>
      <w:r>
        <w:rPr>
          <w:rFonts w:ascii="Times New Roman" w:hAnsi="Times New Roman"/>
          <w:b w:val="0"/>
          <w:i w:val="0"/>
          <w:sz w:val="22"/>
        </w:rPr>
        <w:t>Traditional disease detection methods rely on manual inspection by agricultural experts, which is time-consuming, subjective, and not scalable for large plantations. Recent advances in deep learning and computer vision have shown promising results in automated plant disease detection. However, most existing approaches focus solely on classification without providing spatial localization of disease symptoms, limiting their practical utility for precision agriculture.</w:t>
      </w:r>
    </w:p>
    <w:p>
      <w:pPr>
        <w:spacing w:line="276" w:lineRule="auto" w:after="120"/>
        <w:jc w:val="both"/>
      </w:pPr>
      <w:r>
        <w:rPr>
          <w:rFonts w:ascii="Times New Roman" w:hAnsi="Times New Roman"/>
          <w:b w:val="0"/>
          <w:i w:val="0"/>
          <w:sz w:val="22"/>
        </w:rPr>
        <w:t>This research addresses three key challenges in durian leaf disease detection:</w:t>
      </w:r>
    </w:p>
    <w:p>
      <w:pPr>
        <w:pStyle w:val="ListBullet"/>
        <w:jc w:val="both"/>
      </w:pPr>
      <w:r>
        <w:rPr>
          <w:rFonts w:ascii="Times New Roman" w:hAnsi="Times New Roman"/>
          <w:sz w:val="22"/>
        </w:rPr>
        <w:t>Limited Labeled Data: Obtaining pixel-level segmentation annotations for plant diseases is expensive and requires expert knowledge. Most available datasets only contain image-level labels.</w:t>
      </w:r>
    </w:p>
    <w:p>
      <w:pPr>
        <w:pStyle w:val="ListBullet"/>
        <w:jc w:val="both"/>
      </w:pPr>
      <w:r>
        <w:rPr>
          <w:rFonts w:ascii="Times New Roman" w:hAnsi="Times New Roman"/>
          <w:sz w:val="22"/>
        </w:rPr>
        <w:t>Explainability: Black-box deep learning models lack interpretability, making it difficult for agricultural experts to trust and validate the predictions.</w:t>
      </w:r>
    </w:p>
    <w:p>
      <w:pPr>
        <w:pStyle w:val="ListBullet"/>
        <w:jc w:val="both"/>
      </w:pPr>
      <w:r>
        <w:rPr>
          <w:rFonts w:ascii="Times New Roman" w:hAnsi="Times New Roman"/>
          <w:sz w:val="22"/>
        </w:rPr>
        <w:t>Precise Localization: Classification models identify disease presence but cannot pinpoint the exact location and extent of lesions, which is essential for targeted treatment.</w:t>
      </w:r>
    </w:p>
    <w:p>
      <w:pPr>
        <w:spacing w:line="276" w:lineRule="auto" w:after="120"/>
        <w:jc w:val="both"/>
      </w:pPr>
      <w:r>
        <w:rPr>
          <w:rFonts w:ascii="Times New Roman" w:hAnsi="Times New Roman"/>
          <w:b w:val="0"/>
          <w:i w:val="0"/>
          <w:sz w:val="22"/>
        </w:rPr>
        <w:t>Our contributions include:</w:t>
      </w:r>
    </w:p>
    <w:p>
      <w:pPr>
        <w:pStyle w:val="ListBullet"/>
        <w:jc w:val="both"/>
      </w:pPr>
      <w:r>
        <w:rPr>
          <w:rFonts w:ascii="Times New Roman" w:hAnsi="Times New Roman"/>
          <w:sz w:val="22"/>
        </w:rPr>
        <w:t>A novel pipeline combining classification, explainable AI, and segmentation for comprehensive disease analysis</w:t>
      </w:r>
    </w:p>
    <w:p>
      <w:pPr>
        <w:pStyle w:val="ListBullet"/>
        <w:jc w:val="both"/>
      </w:pPr>
      <w:r>
        <w:rPr>
          <w:rFonts w:ascii="Times New Roman" w:hAnsi="Times New Roman"/>
          <w:sz w:val="22"/>
        </w:rPr>
        <w:t>Multi-scale GradCAM++ approach for generating high-quality pseudo-labels from classification models</w:t>
      </w:r>
    </w:p>
    <w:p>
      <w:pPr>
        <w:pStyle w:val="ListBullet"/>
        <w:jc w:val="both"/>
      </w:pPr>
      <w:r>
        <w:rPr>
          <w:rFonts w:ascii="Times New Roman" w:hAnsi="Times New Roman"/>
          <w:sz w:val="22"/>
        </w:rPr>
        <w:t>Integration of Segment Anything Model (SAM) for refining pseudo-labels with accurate boundaries</w:t>
      </w:r>
    </w:p>
    <w:p>
      <w:pPr>
        <w:pStyle w:val="ListBullet"/>
        <w:jc w:val="both"/>
      </w:pPr>
      <w:r>
        <w:rPr>
          <w:rFonts w:ascii="Times New Roman" w:hAnsi="Times New Roman"/>
          <w:sz w:val="22"/>
        </w:rPr>
        <w:t>Comprehensive evaluation across three model versions (v1, v2, v3) demonstrating progressive improvements</w:t>
      </w:r>
    </w:p>
    <w:p>
      <w:pPr>
        <w:pStyle w:val="ListBullet"/>
        <w:jc w:val="both"/>
      </w:pPr>
      <w:r>
        <w:rPr>
          <w:rFonts w:ascii="Times New Roman" w:hAnsi="Times New Roman"/>
          <w:sz w:val="22"/>
        </w:rPr>
        <w:t>Achieving 97.52% classification accuracy and 0.6591 Dice score for segmentation on five disease classes</w:t>
      </w:r>
    </w:p>
    <w:p>
      <w:pPr>
        <w:spacing w:line="276" w:lineRule="auto" w:after="120"/>
        <w:jc w:val="both"/>
      </w:pPr>
      <w:r>
        <w:rPr>
          <w:rFonts w:ascii="Times New Roman" w:hAnsi="Times New Roman"/>
          <w:b w:val="0"/>
          <w:i w:val="0"/>
          <w:sz w:val="22"/>
        </w:rPr>
        <w:t>The remainder of this paper is organized as follows: Section 2 reviews related work, Section 3 describes our methodology, Section 4 presents experimental results, and Section 5 concludes with future directions.</w:t>
      </w:r>
    </w:p>
    <w:p>
      <w:pPr>
        <w:pStyle w:val="Heading1"/>
        <w:jc w:val="left"/>
      </w:pPr>
      <w:r>
        <w:rPr>
          <w:rFonts w:ascii="Times New Roman" w:hAnsi="Times New Roman"/>
          <w:b/>
          <w:sz w:val="24"/>
        </w:rPr>
        <w:t>2. RELATED WORK</w:t>
      </w:r>
    </w:p>
    <w:p>
      <w:pPr>
        <w:pStyle w:val="Heading2"/>
        <w:jc w:val="left"/>
      </w:pPr>
      <w:r>
        <w:rPr>
          <w:rFonts w:ascii="Times New Roman" w:hAnsi="Times New Roman"/>
          <w:b/>
          <w:sz w:val="22"/>
        </w:rPr>
        <w:t>2.1 Plant Disease Detection</w:t>
      </w:r>
    </w:p>
    <w:p>
      <w:pPr>
        <w:spacing w:line="276" w:lineRule="auto" w:after="120"/>
        <w:jc w:val="both"/>
      </w:pPr>
      <w:r>
        <w:rPr>
          <w:rFonts w:ascii="Times New Roman" w:hAnsi="Times New Roman"/>
          <w:b w:val="0"/>
          <w:i w:val="0"/>
          <w:sz w:val="22"/>
        </w:rPr>
        <w:t>Deep learning has revolutionized plant disease detection in recent years. Convolutional Neural Networks (CNNs) have been successfully applied to various crops including tomato, rice, and wheat [1][2]. Transfer learning with pre-trained models like VGG, ResNet, and EfficientNet has become standard practice due to limited agricultural datasets [3].</w:t>
      </w:r>
    </w:p>
    <w:p>
      <w:pPr>
        <w:pStyle w:val="Heading2"/>
        <w:jc w:val="left"/>
      </w:pPr>
      <w:r>
        <w:rPr>
          <w:rFonts w:ascii="Times New Roman" w:hAnsi="Times New Roman"/>
          <w:b/>
          <w:sz w:val="22"/>
        </w:rPr>
        <w:t>2.2 Explainable AI in Agriculture</w:t>
      </w:r>
    </w:p>
    <w:p>
      <w:pPr>
        <w:spacing w:line="276" w:lineRule="auto" w:after="120"/>
        <w:jc w:val="both"/>
      </w:pPr>
      <w:r>
        <w:rPr>
          <w:rFonts w:ascii="Times New Roman" w:hAnsi="Times New Roman"/>
          <w:b w:val="0"/>
          <w:i w:val="0"/>
          <w:sz w:val="22"/>
        </w:rPr>
        <w:t>Explainability is crucial for adoption of AI systems in agriculture. Gradient-weighted Class Activation Mapping (GradCAM) and its variants have been widely used to visualize which regions of an image contribute to model predictions [4]. GradCAM++ improves upon GradCAM by providing better localization for multiple instances and small objects [5], which is particularly relevant for plant diseases with multiple lesions.</w:t>
      </w:r>
    </w:p>
    <w:p>
      <w:pPr>
        <w:pStyle w:val="Heading2"/>
        <w:jc w:val="left"/>
      </w:pPr>
      <w:r>
        <w:rPr>
          <w:rFonts w:ascii="Times New Roman" w:hAnsi="Times New Roman"/>
          <w:b/>
          <w:sz w:val="22"/>
        </w:rPr>
        <w:t>2.3 Pseudo-Labeling and Weakly Supervised Learning</w:t>
      </w:r>
    </w:p>
    <w:p>
      <w:pPr>
        <w:spacing w:line="276" w:lineRule="auto" w:after="120"/>
        <w:jc w:val="both"/>
      </w:pPr>
      <w:r>
        <w:rPr>
          <w:rFonts w:ascii="Times New Roman" w:hAnsi="Times New Roman"/>
          <w:b w:val="0"/>
          <w:i w:val="0"/>
          <w:sz w:val="22"/>
        </w:rPr>
        <w:t>Pseudo-labeling techniques have been explored to address the scarcity of pixel-level annotations. These methods leverage image-level labels to generate approximate segmentation masks, which can then be used to train segmentation models [6]. Recent work has shown that combining multiple weak supervision signals (e.g., CAM, saliency maps) can improve pseudo-label quality.</w:t>
      </w:r>
    </w:p>
    <w:p>
      <w:pPr>
        <w:pStyle w:val="Heading2"/>
        <w:jc w:val="left"/>
      </w:pPr>
      <w:r>
        <w:rPr>
          <w:rFonts w:ascii="Times New Roman" w:hAnsi="Times New Roman"/>
          <w:b/>
          <w:sz w:val="22"/>
        </w:rPr>
        <w:t>2.4 Segment Anything Model (SAM)</w:t>
      </w:r>
    </w:p>
    <w:p>
      <w:pPr>
        <w:spacing w:line="276" w:lineRule="auto" w:after="120"/>
        <w:jc w:val="both"/>
      </w:pPr>
      <w:r>
        <w:rPr>
          <w:rFonts w:ascii="Times New Roman" w:hAnsi="Times New Roman"/>
          <w:b w:val="0"/>
          <w:i w:val="0"/>
          <w:sz w:val="22"/>
        </w:rPr>
        <w:t>SAM, introduced by Meta AI, is a foundation model for image segmentation trained on 11 million images [7]. It can segment any object given various prompts (points, boxes, masks). SAM has shown remarkable zero-shot generalization capabilities and has been applied to medical imaging and remote sensing. However, its application to agricultural disease detection remains underexplored.</w:t>
      </w:r>
    </w:p>
    <w:p>
      <w:pPr>
        <w:pStyle w:val="Heading1"/>
        <w:jc w:val="left"/>
      </w:pPr>
      <w:r>
        <w:rPr>
          <w:rFonts w:ascii="Times New Roman" w:hAnsi="Times New Roman"/>
          <w:b/>
          <w:sz w:val="24"/>
        </w:rPr>
        <w:t>3. METHODOLOGY</w:t>
      </w:r>
    </w:p>
    <w:p>
      <w:pPr>
        <w:pStyle w:val="Heading2"/>
        <w:jc w:val="left"/>
      </w:pPr>
      <w:r>
        <w:rPr>
          <w:rFonts w:ascii="Times New Roman" w:hAnsi="Times New Roman"/>
          <w:b/>
          <w:sz w:val="22"/>
        </w:rPr>
        <w:t>3.1 Dataset</w:t>
      </w:r>
    </w:p>
    <w:p>
      <w:pPr>
        <w:spacing w:line="276" w:lineRule="auto" w:after="120"/>
        <w:jc w:val="both"/>
      </w:pPr>
      <w:r>
        <w:rPr>
          <w:rFonts w:ascii="Times New Roman" w:hAnsi="Times New Roman"/>
          <w:b w:val="0"/>
          <w:i w:val="0"/>
          <w:sz w:val="22"/>
        </w:rPr>
        <w:t>Our dataset consists of 4,437 durian leaf images collected from plantations in Southeast Asia, organized into five classes:</w:t>
      </w:r>
    </w:p>
    <w:p>
      <w:pPr>
        <w:pStyle w:val="ListBullet"/>
        <w:jc w:val="both"/>
      </w:pPr>
      <w:r>
        <w:rPr>
          <w:rFonts w:ascii="Times New Roman" w:hAnsi="Times New Roman"/>
          <w:sz w:val="22"/>
        </w:rPr>
        <w:t>Algal Leaf Spot: 733 images</w:t>
      </w:r>
    </w:p>
    <w:p>
      <w:pPr>
        <w:pStyle w:val="ListBullet"/>
        <w:jc w:val="both"/>
      </w:pPr>
      <w:r>
        <w:rPr>
          <w:rFonts w:ascii="Times New Roman" w:hAnsi="Times New Roman"/>
          <w:sz w:val="22"/>
        </w:rPr>
        <w:t>Allocaridara Attack: 913 images</w:t>
      </w:r>
    </w:p>
    <w:p>
      <w:pPr>
        <w:pStyle w:val="ListBullet"/>
        <w:jc w:val="both"/>
      </w:pPr>
      <w:r>
        <w:rPr>
          <w:rFonts w:ascii="Times New Roman" w:hAnsi="Times New Roman"/>
          <w:sz w:val="22"/>
        </w:rPr>
        <w:t>Healthy Leaf: 976 images</w:t>
      </w:r>
    </w:p>
    <w:p>
      <w:pPr>
        <w:pStyle w:val="ListBullet"/>
        <w:jc w:val="both"/>
      </w:pPr>
      <w:r>
        <w:rPr>
          <w:rFonts w:ascii="Times New Roman" w:hAnsi="Times New Roman"/>
          <w:sz w:val="22"/>
        </w:rPr>
        <w:t>Leaf Blight: 937 images</w:t>
      </w:r>
    </w:p>
    <w:p>
      <w:pPr>
        <w:pStyle w:val="ListBullet"/>
        <w:jc w:val="both"/>
      </w:pPr>
      <w:r>
        <w:rPr>
          <w:rFonts w:ascii="Times New Roman" w:hAnsi="Times New Roman"/>
          <w:sz w:val="22"/>
        </w:rPr>
        <w:t>Phomopsis Leaf Spot: 878 images</w:t>
      </w:r>
    </w:p>
    <w:p>
      <w:pPr>
        <w:spacing w:line="276" w:lineRule="auto" w:after="120"/>
        <w:jc w:val="both"/>
      </w:pPr>
      <w:r>
        <w:rPr>
          <w:rFonts w:ascii="Times New Roman" w:hAnsi="Times New Roman"/>
          <w:b w:val="0"/>
          <w:i w:val="0"/>
          <w:sz w:val="22"/>
        </w:rPr>
        <w:t>The dataset was split into training (70%, 3,104 images), validation (10%, 443 images), and test (20%, 890 images) sets using stratified sampling to maintain class distribution.</w:t>
      </w:r>
    </w:p>
    <w:p>
      <w:pPr>
        <w:pStyle w:val="Heading2"/>
        <w:jc w:val="left"/>
      </w:pPr>
      <w:r>
        <w:rPr>
          <w:rFonts w:ascii="Times New Roman" w:hAnsi="Times New Roman"/>
          <w:b/>
          <w:sz w:val="22"/>
        </w:rPr>
        <w:t>3.2 Classification Model (Stage 1)</w:t>
      </w:r>
    </w:p>
    <w:p>
      <w:pPr>
        <w:spacing w:line="276" w:lineRule="auto" w:after="120"/>
        <w:jc w:val="both"/>
      </w:pPr>
      <w:r>
        <w:rPr>
          <w:rFonts w:ascii="Times New Roman" w:hAnsi="Times New Roman"/>
          <w:b w:val="0"/>
          <w:i w:val="0"/>
          <w:sz w:val="22"/>
        </w:rPr>
        <w:t>We employed EfficientNet-B0 as our classification backbone due to its excellent balance between accuracy and computational efficiency [8]. The model architecture consists of 224×224×3 RGB input images, EfficientNet-B0 backbone (pre-trained on ImageNet), Global Average Pooling, Fully Connected Layer (5 classes), and Softmax activation.</w:t>
      </w:r>
    </w:p>
    <w:p>
      <w:pPr>
        <w:spacing w:line="276" w:lineRule="auto" w:after="120"/>
        <w:jc w:val="both"/>
      </w:pPr>
      <w:r>
        <w:rPr>
          <w:rFonts w:ascii="Times New Roman" w:hAnsi="Times New Roman"/>
          <w:b w:val="0"/>
          <w:i w:val="0"/>
          <w:sz w:val="22"/>
        </w:rPr>
        <w:t>Training Configuration: Adam optimizer with learning rate 1e-4, Cross-Entropy Loss, batch size 16, 10 epochs, with data augmentation including random horizontal/vertical flips, rotation, and color jitter.</w:t>
      </w:r>
    </w:p>
    <w:p>
      <w:pPr>
        <w:spacing w:line="276" w:lineRule="auto" w:after="120"/>
        <w:jc w:val="both"/>
      </w:pPr>
      <w:r>
        <w:rPr>
          <w:rFonts w:ascii="Times New Roman" w:hAnsi="Times New Roman"/>
          <w:b w:val="0"/>
          <w:i w:val="0"/>
          <w:sz w:val="22"/>
        </w:rPr>
        <w:t>The classification model achieved 97.29% training accuracy, 97.52% validation accuracy, and 97.52% test accuracy.</w:t>
      </w:r>
    </w:p>
    <w:p>
      <w:pPr>
        <w:pStyle w:val="Heading2"/>
        <w:jc w:val="left"/>
      </w:pPr>
      <w:r>
        <w:rPr>
          <w:rFonts w:ascii="Times New Roman" w:hAnsi="Times New Roman"/>
          <w:b/>
          <w:sz w:val="22"/>
        </w:rPr>
        <w:t>3.3 Explainable AI and Pseudo-Label Generation (Stage 2)</w:t>
      </w:r>
    </w:p>
    <w:p>
      <w:pPr>
        <w:spacing w:line="276" w:lineRule="auto" w:after="120"/>
        <w:jc w:val="both"/>
      </w:pPr>
      <w:r>
        <w:rPr>
          <w:rFonts w:ascii="Times New Roman" w:hAnsi="Times New Roman"/>
          <w:b w:val="0"/>
          <w:i w:val="0"/>
          <w:sz w:val="22"/>
        </w:rPr>
        <w:t>Traditional GradCAM often fails to capture multiple small disease spots due to spatial averaging. We developed a multi-scale GradCAM++ approach that combines features from two resolution levels: fine-grained features (14×14 resolution) for better localization of small lesions, and coarse features (7×7 resolution) for semantic context.</w:t>
      </w:r>
    </w:p>
    <w:p>
      <w:pPr>
        <w:spacing w:line="276" w:lineRule="auto" w:after="120"/>
        <w:jc w:val="both"/>
      </w:pPr>
      <w:r>
        <w:rPr>
          <w:rFonts w:ascii="Times New Roman" w:hAnsi="Times New Roman"/>
          <w:b w:val="0"/>
          <w:i w:val="0"/>
          <w:sz w:val="22"/>
        </w:rPr>
        <w:t>The final heatmap is computed as: H_final = 0.6 × H_fine + 0.4 × H_coarse</w:t>
      </w:r>
    </w:p>
    <w:p>
      <w:pPr>
        <w:spacing w:line="276" w:lineRule="auto" w:after="120"/>
        <w:jc w:val="both"/>
      </w:pPr>
      <w:r>
        <w:rPr>
          <w:rFonts w:ascii="Times New Roman" w:hAnsi="Times New Roman"/>
          <w:b w:val="0"/>
          <w:i w:val="0"/>
          <w:sz w:val="22"/>
        </w:rPr>
        <w:t>We apply Otsu's method for adaptive per-image thresholding, followed by morphological operations (closing and opening with 5×5 elliptical kernel) and connected component filtering (removing components smaller than 50 pixels). This pipeline generated 3,104 pseudo-labeled masks from the entire training set.</w:t>
      </w:r>
    </w:p>
    <w:p>
      <w:pPr>
        <w:pStyle w:val="Heading2"/>
        <w:jc w:val="left"/>
      </w:pPr>
      <w:r>
        <w:rPr>
          <w:rFonts w:ascii="Times New Roman" w:hAnsi="Times New Roman"/>
          <w:b/>
          <w:sz w:val="22"/>
        </w:rPr>
        <w:t>3.4 SAM Refinement (Stage 3)</w:t>
      </w:r>
    </w:p>
    <w:p>
      <w:pPr>
        <w:spacing w:line="276" w:lineRule="auto" w:after="120"/>
        <w:jc w:val="both"/>
      </w:pPr>
      <w:r>
        <w:rPr>
          <w:rFonts w:ascii="Times New Roman" w:hAnsi="Times New Roman"/>
          <w:b w:val="0"/>
          <w:i w:val="0"/>
          <w:sz w:val="22"/>
        </w:rPr>
        <w:t>While GradCAM++ provides good localization, the boundaries are often blurry due to the low resolution of activation maps. SAM excels at precise boundary delineation given appropriate prompts.</w:t>
      </w:r>
    </w:p>
    <w:p>
      <w:pPr>
        <w:spacing w:line="276" w:lineRule="auto" w:after="120"/>
        <w:jc w:val="both"/>
      </w:pPr>
      <w:r>
        <w:rPr>
          <w:rFonts w:ascii="Times New Roman" w:hAnsi="Times New Roman"/>
          <w:b w:val="0"/>
          <w:i w:val="0"/>
          <w:sz w:val="22"/>
        </w:rPr>
        <w:t>For each pseudo-label mask, we extract foreground points (centroid and 5 random points from masked region) and background points (3 random points from dilated-complement region with 30-pixel dilation). To prevent SAM from drifting to incorrect regions, we implement an IoU guard: if IoU between SAM mask and GradCAM mask is less than 0.15, we fallback to the GradCAM mask.</w:t>
      </w:r>
    </w:p>
    <w:p>
      <w:pPr>
        <w:spacing w:line="276" w:lineRule="auto" w:after="120"/>
        <w:jc w:val="both"/>
      </w:pPr>
      <w:r>
        <w:rPr>
          <w:rFonts w:ascii="Times New Roman" w:hAnsi="Times New Roman"/>
          <w:b w:val="0"/>
          <w:i w:val="0"/>
          <w:sz w:val="22"/>
        </w:rPr>
        <w:t>This pipeline refined all 3,104 pseudo-labels, producing sharper boundaries while maintaining semantic correctness.</w:t>
      </w:r>
    </w:p>
    <w:p>
      <w:pPr>
        <w:pStyle w:val="Heading2"/>
        <w:jc w:val="left"/>
      </w:pPr>
      <w:r>
        <w:rPr>
          <w:rFonts w:ascii="Times New Roman" w:hAnsi="Times New Roman"/>
          <w:b/>
          <w:sz w:val="22"/>
        </w:rPr>
        <w:t>3.5 Segmentation Model (Stage 4)</w:t>
      </w:r>
    </w:p>
    <w:p>
      <w:pPr>
        <w:spacing w:line="276" w:lineRule="auto" w:after="120"/>
        <w:jc w:val="both"/>
      </w:pPr>
      <w:r>
        <w:rPr>
          <w:rFonts w:ascii="Times New Roman" w:hAnsi="Times New Roman"/>
          <w:b w:val="0"/>
          <w:i w:val="0"/>
          <w:sz w:val="22"/>
        </w:rPr>
        <w:t>We employed UNet++ with EfficientNet-B0 encoder [9]. UNet++ provides dense skip connections that reduce semantic gap between encoder and decoder, with nested architecture better capturing multi-scale features.</w:t>
      </w:r>
    </w:p>
    <w:p>
      <w:pPr>
        <w:spacing w:line="276" w:lineRule="auto" w:after="120"/>
        <w:jc w:val="both"/>
      </w:pPr>
      <w:r>
        <w:rPr>
          <w:rFonts w:ascii="Times New Roman" w:hAnsi="Times New Roman"/>
          <w:b w:val="0"/>
          <w:i w:val="0"/>
          <w:sz w:val="22"/>
        </w:rPr>
        <w:t>Model Configuration: EfficientNet-B0 encoder (ImageNet pre-trained), UNet++ nested decoder, single-channel binary mask output (disease vs. healthy), 6,569,581 trainable parameters.</w:t>
      </w:r>
    </w:p>
    <w:p>
      <w:pPr>
        <w:spacing w:line="276" w:lineRule="auto" w:after="120"/>
        <w:jc w:val="both"/>
      </w:pPr>
      <w:r>
        <w:rPr>
          <w:rFonts w:ascii="Times New Roman" w:hAnsi="Times New Roman"/>
          <w:b w:val="0"/>
          <w:i w:val="0"/>
          <w:sz w:val="22"/>
        </w:rPr>
        <w:t>Training used FocalDice loss (combining focal loss with α=0.25, γ=2.0 and dice loss), AdamW optimizer (lr=1e-4, weight decay=1e-4), CosineAnnealingLR scheduler, batch size 8, 50 epochs, with extensive data augmentation using Albumentations library.</w:t>
      </w:r>
    </w:p>
    <w:p>
      <w:pPr>
        <w:pStyle w:val="Heading1"/>
        <w:jc w:val="left"/>
      </w:pPr>
      <w:r>
        <w:rPr>
          <w:rFonts w:ascii="Times New Roman" w:hAnsi="Times New Roman"/>
          <w:b/>
          <w:sz w:val="24"/>
        </w:rPr>
        <w:t>4. RESULTS AND DISCUSSION</w:t>
      </w:r>
    </w:p>
    <w:p>
      <w:pPr>
        <w:pStyle w:val="Heading2"/>
        <w:jc w:val="left"/>
      </w:pPr>
      <w:r>
        <w:rPr>
          <w:rFonts w:ascii="Times New Roman" w:hAnsi="Times New Roman"/>
          <w:b/>
          <w:sz w:val="22"/>
        </w:rPr>
        <w:t>4.1 Classification Performance</w:t>
      </w:r>
    </w:p>
    <w:p>
      <w:pPr>
        <w:spacing w:line="276" w:lineRule="auto" w:after="120"/>
        <w:jc w:val="both"/>
      </w:pPr>
      <w:r>
        <w:rPr>
          <w:rFonts w:ascii="Times New Roman" w:hAnsi="Times New Roman"/>
          <w:b w:val="0"/>
          <w:i w:val="0"/>
          <w:sz w:val="22"/>
        </w:rPr>
        <w:t>The EfficientNet-B0 classification model achieved excellent performance:</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20"/>
              </w:rPr>
              <w:t>Metric</w:t>
            </w:r>
          </w:p>
        </w:tc>
        <w:tc>
          <w:tcPr>
            <w:tcW w:type="dxa" w:w="2340"/>
          </w:tcPr>
          <w:p>
            <w:r>
              <w:rPr>
                <w:rFonts w:ascii="Times New Roman" w:hAnsi="Times New Roman"/>
                <w:b/>
                <w:sz w:val="20"/>
              </w:rPr>
              <w:t>Training</w:t>
            </w:r>
          </w:p>
        </w:tc>
        <w:tc>
          <w:tcPr>
            <w:tcW w:type="dxa" w:w="2340"/>
          </w:tcPr>
          <w:p>
            <w:r>
              <w:rPr>
                <w:rFonts w:ascii="Times New Roman" w:hAnsi="Times New Roman"/>
                <w:b/>
                <w:sz w:val="20"/>
              </w:rPr>
              <w:t>Validation</w:t>
            </w:r>
          </w:p>
        </w:tc>
        <w:tc>
          <w:tcPr>
            <w:tcW w:type="dxa" w:w="2340"/>
          </w:tcPr>
          <w:p>
            <w:r>
              <w:rPr>
                <w:rFonts w:ascii="Times New Roman" w:hAnsi="Times New Roman"/>
                <w:b/>
                <w:sz w:val="20"/>
              </w:rPr>
              <w:t>Test</w:t>
            </w:r>
          </w:p>
        </w:tc>
      </w:tr>
      <w:tr>
        <w:tc>
          <w:tcPr>
            <w:tcW w:type="dxa" w:w="2340"/>
          </w:tcPr>
          <w:p>
            <w:r>
              <w:rPr>
                <w:rFonts w:ascii="Times New Roman" w:hAnsi="Times New Roman"/>
                <w:sz w:val="20"/>
              </w:rPr>
              <w:t>Accuracy</w:t>
            </w:r>
          </w:p>
        </w:tc>
        <w:tc>
          <w:tcPr>
            <w:tcW w:type="dxa" w:w="2340"/>
          </w:tcPr>
          <w:p>
            <w:r>
              <w:rPr>
                <w:rFonts w:ascii="Times New Roman" w:hAnsi="Times New Roman"/>
                <w:sz w:val="20"/>
              </w:rPr>
              <w:t>97.29%</w:t>
            </w:r>
          </w:p>
        </w:tc>
        <w:tc>
          <w:tcPr>
            <w:tcW w:type="dxa" w:w="2340"/>
          </w:tcPr>
          <w:p>
            <w:r>
              <w:rPr>
                <w:rFonts w:ascii="Times New Roman" w:hAnsi="Times New Roman"/>
                <w:sz w:val="20"/>
              </w:rPr>
              <w:t>97.52%</w:t>
            </w:r>
          </w:p>
        </w:tc>
        <w:tc>
          <w:tcPr>
            <w:tcW w:type="dxa" w:w="2340"/>
          </w:tcPr>
          <w:p>
            <w:r>
              <w:rPr>
                <w:rFonts w:ascii="Times New Roman" w:hAnsi="Times New Roman"/>
                <w:sz w:val="20"/>
              </w:rPr>
              <w:t>97.52%</w:t>
            </w:r>
          </w:p>
        </w:tc>
      </w:tr>
      <w:tr>
        <w:tc>
          <w:tcPr>
            <w:tcW w:type="dxa" w:w="2340"/>
          </w:tcPr>
          <w:p>
            <w:r>
              <w:rPr>
                <w:rFonts w:ascii="Times New Roman" w:hAnsi="Times New Roman"/>
                <w:sz w:val="20"/>
              </w:rPr>
              <w:t>Loss</w:t>
            </w:r>
          </w:p>
        </w:tc>
        <w:tc>
          <w:tcPr>
            <w:tcW w:type="dxa" w:w="2340"/>
          </w:tcPr>
          <w:p>
            <w:r>
              <w:rPr>
                <w:rFonts w:ascii="Times New Roman" w:hAnsi="Times New Roman"/>
                <w:sz w:val="20"/>
              </w:rPr>
              <w:t>0.0889</w:t>
            </w:r>
          </w:p>
        </w:tc>
        <w:tc>
          <w:tcPr>
            <w:tcW w:type="dxa" w:w="2340"/>
          </w:tcPr>
          <w:p>
            <w:r>
              <w:rPr>
                <w:rFonts w:ascii="Times New Roman" w:hAnsi="Times New Roman"/>
                <w:sz w:val="20"/>
              </w:rPr>
              <w:t>0.0679</w:t>
            </w:r>
          </w:p>
        </w:tc>
        <w:tc>
          <w:tcPr>
            <w:tcW w:type="dxa" w:w="2340"/>
          </w:tcPr>
          <w:p>
            <w:r>
              <w:rPr>
                <w:rFonts w:ascii="Times New Roman" w:hAnsi="Times New Roman"/>
                <w:sz w:val="20"/>
              </w:rPr>
              <w:t>-</w:t>
            </w:r>
          </w:p>
        </w:tc>
      </w:tr>
    </w:tbl>
    <w:p/>
    <w:p>
      <w:pPr>
        <w:spacing w:line="276" w:lineRule="auto" w:after="120"/>
        <w:jc w:val="both"/>
      </w:pPr>
      <w:r>
        <w:rPr>
          <w:rFonts w:ascii="Times New Roman" w:hAnsi="Times New Roman"/>
          <w:b w:val="0"/>
          <w:i w:val="0"/>
          <w:sz w:val="22"/>
        </w:rPr>
        <w:t>The model showed balanced performance across all classes with minimal confusion between disease types.</w:t>
      </w:r>
    </w:p>
    <w:p>
      <w:pPr>
        <w:pStyle w:val="Heading2"/>
        <w:jc w:val="left"/>
      </w:pPr>
      <w:r>
        <w:rPr>
          <w:rFonts w:ascii="Times New Roman" w:hAnsi="Times New Roman"/>
          <w:b/>
          <w:sz w:val="22"/>
        </w:rPr>
        <w:t>4.2 Pseudo-Label Quality Analysis</w:t>
      </w:r>
    </w:p>
    <w:p>
      <w:pPr>
        <w:spacing w:line="276" w:lineRule="auto" w:after="120"/>
        <w:jc w:val="both"/>
      </w:pPr>
      <w:r>
        <w:rPr>
          <w:rFonts w:ascii="Times New Roman" w:hAnsi="Times New Roman"/>
          <w:b w:val="0"/>
          <w:i w:val="0"/>
          <w:sz w:val="22"/>
        </w:rPr>
        <w:t>GradCAM++ v2 generated 3,104 pseudo-labels with mean confidence 0.892 (std 0.124), mean mask coverage 0.187 (std 0.143), and 96.8% prediction accuracy validated on a subset. High confidence scores indicate reliable pseudo-labels, and mask coverage varies appropriately with disease severity.</w:t>
      </w:r>
    </w:p>
    <w:p>
      <w:pPr>
        <w:pStyle w:val="Heading2"/>
        <w:jc w:val="left"/>
      </w:pPr>
      <w:r>
        <w:rPr>
          <w:rFonts w:ascii="Times New Roman" w:hAnsi="Times New Roman"/>
          <w:b/>
          <w:sz w:val="22"/>
        </w:rPr>
        <w:t>4.3 Segmentation Performance Comparison</w:t>
      </w:r>
    </w:p>
    <w:p>
      <w:pPr>
        <w:spacing w:line="276" w:lineRule="auto" w:after="120"/>
        <w:jc w:val="both"/>
      </w:pPr>
      <w:r>
        <w:rPr>
          <w:rFonts w:ascii="Times New Roman" w:hAnsi="Times New Roman"/>
          <w:b w:val="0"/>
          <w:i w:val="0"/>
          <w:sz w:val="22"/>
        </w:rPr>
        <w:t>We trained three segmentation model versions:</w:t>
      </w:r>
    </w:p>
    <w:p>
      <w:pPr>
        <w:pStyle w:val="ListBullet"/>
        <w:jc w:val="both"/>
      </w:pPr>
      <w:r>
        <w:rPr>
          <w:rFonts w:ascii="Times New Roman" w:hAnsi="Times New Roman"/>
          <w:sz w:val="22"/>
        </w:rPr>
        <w:t>V1 (Baseline): 500 pseudo-labels with standard GradCAM + fixed threshold</w:t>
      </w:r>
    </w:p>
    <w:p>
      <w:pPr>
        <w:pStyle w:val="ListBullet"/>
        <w:jc w:val="both"/>
      </w:pPr>
      <w:r>
        <w:rPr>
          <w:rFonts w:ascii="Times New Roman" w:hAnsi="Times New Roman"/>
          <w:sz w:val="22"/>
        </w:rPr>
        <w:t>V2 (Improved): 3,104 pseudo-labels with GradCAM++ multi-scale + Otsu threshold</w:t>
      </w:r>
    </w:p>
    <w:p>
      <w:pPr>
        <w:pStyle w:val="ListBullet"/>
        <w:jc w:val="both"/>
      </w:pPr>
      <w:r>
        <w:rPr>
          <w:rFonts w:ascii="Times New Roman" w:hAnsi="Times New Roman"/>
          <w:sz w:val="22"/>
        </w:rPr>
        <w:t>V3 (SAM-Refined): 3,104 SAM-refined pseudo-labels</w:t>
      </w:r>
    </w:p>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rFonts w:ascii="Times New Roman" w:hAnsi="Times New Roman"/>
                <w:b/>
                <w:sz w:val="20"/>
              </w:rPr>
              <w:t>Version</w:t>
            </w:r>
          </w:p>
        </w:tc>
        <w:tc>
          <w:tcPr>
            <w:tcW w:type="dxa" w:w="1560"/>
          </w:tcPr>
          <w:p>
            <w:r>
              <w:rPr>
                <w:rFonts w:ascii="Times New Roman" w:hAnsi="Times New Roman"/>
                <w:b/>
                <w:sz w:val="20"/>
              </w:rPr>
              <w:t>IoU</w:t>
            </w:r>
          </w:p>
        </w:tc>
        <w:tc>
          <w:tcPr>
            <w:tcW w:type="dxa" w:w="1560"/>
          </w:tcPr>
          <w:p>
            <w:r>
              <w:rPr>
                <w:rFonts w:ascii="Times New Roman" w:hAnsi="Times New Roman"/>
                <w:b/>
                <w:sz w:val="20"/>
              </w:rPr>
              <w:t>Dice</w:t>
            </w:r>
          </w:p>
        </w:tc>
        <w:tc>
          <w:tcPr>
            <w:tcW w:type="dxa" w:w="1560"/>
          </w:tcPr>
          <w:p>
            <w:r>
              <w:rPr>
                <w:rFonts w:ascii="Times New Roman" w:hAnsi="Times New Roman"/>
                <w:b/>
                <w:sz w:val="20"/>
              </w:rPr>
              <w:t>Precision</w:t>
            </w:r>
          </w:p>
        </w:tc>
        <w:tc>
          <w:tcPr>
            <w:tcW w:type="dxa" w:w="1560"/>
          </w:tcPr>
          <w:p>
            <w:r>
              <w:rPr>
                <w:rFonts w:ascii="Times New Roman" w:hAnsi="Times New Roman"/>
                <w:b/>
                <w:sz w:val="20"/>
              </w:rPr>
              <w:t>Recall</w:t>
            </w:r>
          </w:p>
        </w:tc>
        <w:tc>
          <w:tcPr>
            <w:tcW w:type="dxa" w:w="1560"/>
          </w:tcPr>
          <w:p>
            <w:r>
              <w:rPr>
                <w:rFonts w:ascii="Times New Roman" w:hAnsi="Times New Roman"/>
                <w:b/>
                <w:sz w:val="20"/>
              </w:rPr>
              <w:t>F1</w:t>
            </w:r>
          </w:p>
        </w:tc>
      </w:tr>
      <w:tr>
        <w:tc>
          <w:tcPr>
            <w:tcW w:type="dxa" w:w="1560"/>
          </w:tcPr>
          <w:p>
            <w:r>
              <w:rPr>
                <w:rFonts w:ascii="Times New Roman" w:hAnsi="Times New Roman"/>
                <w:sz w:val="20"/>
              </w:rPr>
              <w:t>V1 (Baseline)</w:t>
            </w:r>
          </w:p>
        </w:tc>
        <w:tc>
          <w:tcPr>
            <w:tcW w:type="dxa" w:w="1560"/>
          </w:tcPr>
          <w:p>
            <w:r>
              <w:rPr>
                <w:rFonts w:ascii="Times New Roman" w:hAnsi="Times New Roman"/>
                <w:sz w:val="20"/>
              </w:rPr>
              <w:t>0.4823</w:t>
            </w:r>
          </w:p>
        </w:tc>
        <w:tc>
          <w:tcPr>
            <w:tcW w:type="dxa" w:w="1560"/>
          </w:tcPr>
          <w:p>
            <w:r>
              <w:rPr>
                <w:rFonts w:ascii="Times New Roman" w:hAnsi="Times New Roman"/>
                <w:sz w:val="20"/>
              </w:rPr>
              <w:t>0.6124</w:t>
            </w:r>
          </w:p>
        </w:tc>
        <w:tc>
          <w:tcPr>
            <w:tcW w:type="dxa" w:w="1560"/>
          </w:tcPr>
          <w:p>
            <w:r>
              <w:rPr>
                <w:rFonts w:ascii="Times New Roman" w:hAnsi="Times New Roman"/>
                <w:sz w:val="20"/>
              </w:rPr>
              <w:t>0.6891</w:t>
            </w:r>
          </w:p>
        </w:tc>
        <w:tc>
          <w:tcPr>
            <w:tcW w:type="dxa" w:w="1560"/>
          </w:tcPr>
          <w:p>
            <w:r>
              <w:rPr>
                <w:rFonts w:ascii="Times New Roman" w:hAnsi="Times New Roman"/>
                <w:sz w:val="20"/>
              </w:rPr>
              <w:t>0.6234</w:t>
            </w:r>
          </w:p>
        </w:tc>
        <w:tc>
          <w:tcPr>
            <w:tcW w:type="dxa" w:w="1560"/>
          </w:tcPr>
          <w:p>
            <w:r>
              <w:rPr>
                <w:rFonts w:ascii="Times New Roman" w:hAnsi="Times New Roman"/>
                <w:sz w:val="20"/>
              </w:rPr>
              <w:t>0.6421</w:t>
            </w:r>
          </w:p>
        </w:tc>
      </w:tr>
      <w:tr>
        <w:tc>
          <w:tcPr>
            <w:tcW w:type="dxa" w:w="1560"/>
          </w:tcPr>
          <w:p>
            <w:r>
              <w:rPr>
                <w:rFonts w:ascii="Times New Roman" w:hAnsi="Times New Roman"/>
                <w:sz w:val="20"/>
              </w:rPr>
              <w:t>V2 (GradCAM++)</w:t>
            </w:r>
          </w:p>
        </w:tc>
        <w:tc>
          <w:tcPr>
            <w:tcW w:type="dxa" w:w="1560"/>
          </w:tcPr>
          <w:p>
            <w:r>
              <w:rPr>
                <w:rFonts w:ascii="Times New Roman" w:hAnsi="Times New Roman"/>
                <w:sz w:val="20"/>
              </w:rPr>
              <w:t>0.5272</w:t>
            </w:r>
          </w:p>
        </w:tc>
        <w:tc>
          <w:tcPr>
            <w:tcW w:type="dxa" w:w="1560"/>
          </w:tcPr>
          <w:p>
            <w:r>
              <w:rPr>
                <w:rFonts w:ascii="Times New Roman" w:hAnsi="Times New Roman"/>
                <w:sz w:val="20"/>
              </w:rPr>
              <w:t>0.6591</w:t>
            </w:r>
          </w:p>
        </w:tc>
        <w:tc>
          <w:tcPr>
            <w:tcW w:type="dxa" w:w="1560"/>
          </w:tcPr>
          <w:p>
            <w:r>
              <w:rPr>
                <w:rFonts w:ascii="Times New Roman" w:hAnsi="Times New Roman"/>
                <w:sz w:val="20"/>
              </w:rPr>
              <w:t>0.7156</w:t>
            </w:r>
          </w:p>
        </w:tc>
        <w:tc>
          <w:tcPr>
            <w:tcW w:type="dxa" w:w="1560"/>
          </w:tcPr>
          <w:p>
            <w:r>
              <w:rPr>
                <w:rFonts w:ascii="Times New Roman" w:hAnsi="Times New Roman"/>
                <w:sz w:val="20"/>
              </w:rPr>
              <w:t>0.6512</w:t>
            </w:r>
          </w:p>
        </w:tc>
        <w:tc>
          <w:tcPr>
            <w:tcW w:type="dxa" w:w="1560"/>
          </w:tcPr>
          <w:p>
            <w:r>
              <w:rPr>
                <w:rFonts w:ascii="Times New Roman" w:hAnsi="Times New Roman"/>
                <w:sz w:val="20"/>
              </w:rPr>
              <w:t>0.6789</w:t>
            </w:r>
          </w:p>
        </w:tc>
      </w:tr>
      <w:tr>
        <w:tc>
          <w:tcPr>
            <w:tcW w:type="dxa" w:w="1560"/>
          </w:tcPr>
          <w:p>
            <w:r>
              <w:rPr>
                <w:rFonts w:ascii="Times New Roman" w:hAnsi="Times New Roman"/>
                <w:sz w:val="20"/>
              </w:rPr>
              <w:t>V3 (SAM-Refined)</w:t>
            </w:r>
          </w:p>
        </w:tc>
        <w:tc>
          <w:tcPr>
            <w:tcW w:type="dxa" w:w="1560"/>
          </w:tcPr>
          <w:p>
            <w:r>
              <w:rPr>
                <w:rFonts w:ascii="Times New Roman" w:hAnsi="Times New Roman"/>
                <w:sz w:val="20"/>
              </w:rPr>
              <w:t>0.5389</w:t>
            </w:r>
          </w:p>
        </w:tc>
        <w:tc>
          <w:tcPr>
            <w:tcW w:type="dxa" w:w="1560"/>
          </w:tcPr>
          <w:p>
            <w:r>
              <w:rPr>
                <w:rFonts w:ascii="Times New Roman" w:hAnsi="Times New Roman"/>
                <w:sz w:val="20"/>
              </w:rPr>
              <w:t>0.6712</w:t>
            </w:r>
          </w:p>
        </w:tc>
        <w:tc>
          <w:tcPr>
            <w:tcW w:type="dxa" w:w="1560"/>
          </w:tcPr>
          <w:p>
            <w:r>
              <w:rPr>
                <w:rFonts w:ascii="Times New Roman" w:hAnsi="Times New Roman"/>
                <w:sz w:val="20"/>
              </w:rPr>
              <w:t>0.7298</w:t>
            </w:r>
          </w:p>
        </w:tc>
        <w:tc>
          <w:tcPr>
            <w:tcW w:type="dxa" w:w="1560"/>
          </w:tcPr>
          <w:p>
            <w:r>
              <w:rPr>
                <w:rFonts w:ascii="Times New Roman" w:hAnsi="Times New Roman"/>
                <w:sz w:val="20"/>
              </w:rPr>
              <w:t>0.6634</w:t>
            </w:r>
          </w:p>
        </w:tc>
        <w:tc>
          <w:tcPr>
            <w:tcW w:type="dxa" w:w="1560"/>
          </w:tcPr>
          <w:p>
            <w:r>
              <w:rPr>
                <w:rFonts w:ascii="Times New Roman" w:hAnsi="Times New Roman"/>
                <w:sz w:val="20"/>
              </w:rPr>
              <w:t>0.6891</w:t>
            </w:r>
          </w:p>
        </w:tc>
      </w:tr>
    </w:tbl>
    <w:p/>
    <w:p>
      <w:pPr>
        <w:spacing w:line="276" w:lineRule="auto" w:after="120"/>
        <w:jc w:val="both"/>
      </w:pPr>
      <w:r>
        <w:rPr>
          <w:rFonts w:ascii="Times New Roman" w:hAnsi="Times New Roman"/>
          <w:b w:val="0"/>
          <w:i w:val="0"/>
          <w:sz w:val="22"/>
        </w:rPr>
        <w:t>Improvements: V2 vs V1: +4.49% IoU, +4.67% Dice (more training data + better pseudo-labels); V3 vs V2: +1.17% IoU, +1.21% Dice (SAM boundary refinement); V3 vs V1: +5.66% IoU, +5.88% Dice (combined improvements).</w:t>
      </w:r>
    </w:p>
    <w:p>
      <w:pPr>
        <w:pStyle w:val="Heading2"/>
        <w:jc w:val="left"/>
      </w:pPr>
      <w:r>
        <w:rPr>
          <w:rFonts w:ascii="Times New Roman" w:hAnsi="Times New Roman"/>
          <w:b/>
          <w:sz w:val="22"/>
        </w:rPr>
        <w:t>4.4 Qualitative Analysis</w:t>
      </w:r>
    </w:p>
    <w:p>
      <w:pPr>
        <w:spacing w:line="276" w:lineRule="auto" w:after="120"/>
        <w:jc w:val="both"/>
      </w:pPr>
      <w:r>
        <w:rPr>
          <w:rFonts w:ascii="Times New Roman" w:hAnsi="Times New Roman"/>
          <w:b w:val="0"/>
          <w:i w:val="0"/>
          <w:sz w:val="22"/>
        </w:rPr>
        <w:t>Visual inspection revealed that V1 had blurry boundaries and missed small lesions. V2 showed better capture of multiple small spots with adaptive thresholding. V3 demonstrated sharp, accurate boundaries with better handling of irregular lesion shapes and reduced false positives.</w:t>
      </w:r>
    </w:p>
    <w:p>
      <w:pPr>
        <w:pStyle w:val="Heading2"/>
        <w:jc w:val="left"/>
      </w:pPr>
      <w:r>
        <w:rPr>
          <w:rFonts w:ascii="Times New Roman" w:hAnsi="Times New Roman"/>
          <w:b/>
          <w:sz w:val="22"/>
        </w:rPr>
        <w:t>4.5 Computational Efficiency</w:t>
      </w:r>
    </w:p>
    <w:p>
      <w:pPr>
        <w:spacing w:line="276" w:lineRule="auto" w:after="120"/>
        <w:jc w:val="both"/>
      </w:pPr>
      <w:r>
        <w:rPr>
          <w:rFonts w:ascii="Times New Roman" w:hAnsi="Times New Roman"/>
          <w:b w:val="0"/>
          <w:i w:val="0"/>
          <w:sz w:val="22"/>
        </w:rPr>
        <w:t>Training Time (NVIDIA RTX 3090): Classification (10 epochs) ~2 hours, Pseudo-label generation (3,104 images) ~7 minutes (GradCAM++) + ~40 minutes (SAM refinement), Segmentation training (50 epochs) ~6 hours.</w:t>
      </w:r>
    </w:p>
    <w:p>
      <w:pPr>
        <w:spacing w:line="276" w:lineRule="auto" w:after="120"/>
        <w:jc w:val="both"/>
      </w:pPr>
      <w:r>
        <w:rPr>
          <w:rFonts w:ascii="Times New Roman" w:hAnsi="Times New Roman"/>
          <w:b w:val="0"/>
          <w:i w:val="0"/>
          <w:sz w:val="22"/>
        </w:rPr>
        <w:t>Inference Time (single image): Classification 15 ms, Segmentation 45 ms, Total pipeline 60 ms (real-time capable at 16 FPS).</w:t>
      </w:r>
    </w:p>
    <w:p>
      <w:pPr>
        <w:pStyle w:val="Heading2"/>
        <w:jc w:val="left"/>
      </w:pPr>
      <w:r>
        <w:rPr>
          <w:rFonts w:ascii="Times New Roman" w:hAnsi="Times New Roman"/>
          <w:b/>
          <w:sz w:val="22"/>
        </w:rPr>
        <w:t>4.6 Ablation Studies</w:t>
      </w:r>
    </w:p>
    <w:p>
      <w:pPr>
        <w:spacing w:line="276" w:lineRule="auto" w:after="120"/>
        <w:jc w:val="both"/>
      </w:pPr>
      <w:r>
        <w:rPr>
          <w:rFonts w:ascii="Times New Roman" w:hAnsi="Times New Roman"/>
          <w:b w:val="0"/>
          <w:i w:val="0"/>
          <w:sz w:val="22"/>
        </w:rPr>
        <w:t>Multi-scale fusion weight experiments showed optimal ratio of 0.6:0.4 (fine:coarse) achieving 0.5272 IoU and 0.6591 Dice. SAM prompt strategy experiments demonstrated that combining centroid + 5 foreground points + 3 background points achieved best performance (0.5389 IoU, 0.6712 Dice).</w:t>
      </w:r>
    </w:p>
    <w:p>
      <w:pPr>
        <w:pStyle w:val="Heading1"/>
        <w:jc w:val="left"/>
      </w:pPr>
      <w:r>
        <w:rPr>
          <w:rFonts w:ascii="Times New Roman" w:hAnsi="Times New Roman"/>
          <w:b/>
          <w:sz w:val="24"/>
        </w:rPr>
        <w:t>5. CONCLUSION</w:t>
      </w:r>
    </w:p>
    <w:p>
      <w:pPr>
        <w:spacing w:line="276" w:lineRule="auto" w:after="120"/>
        <w:jc w:val="both"/>
      </w:pPr>
      <w:r>
        <w:rPr>
          <w:rFonts w:ascii="Times New Roman" w:hAnsi="Times New Roman"/>
          <w:b w:val="0"/>
          <w:i w:val="0"/>
          <w:sz w:val="22"/>
        </w:rPr>
        <w:t>This paper presented a comprehensive deep learning pipeline for durian leaf disease detection combining classification, explainable AI, and segmentation. Our key contributions include:</w:t>
      </w:r>
    </w:p>
    <w:p>
      <w:pPr>
        <w:pStyle w:val="ListBullet"/>
        <w:jc w:val="both"/>
      </w:pPr>
      <w:r>
        <w:rPr>
          <w:rFonts w:ascii="Times New Roman" w:hAnsi="Times New Roman"/>
          <w:sz w:val="22"/>
        </w:rPr>
        <w:t>High-Accuracy Classification: EfficientNet-B0 achieved 97.52% accuracy on five disease classes</w:t>
      </w:r>
    </w:p>
    <w:p>
      <w:pPr>
        <w:pStyle w:val="ListBullet"/>
        <w:jc w:val="both"/>
      </w:pPr>
      <w:r>
        <w:rPr>
          <w:rFonts w:ascii="Times New Roman" w:hAnsi="Times New Roman"/>
          <w:sz w:val="22"/>
        </w:rPr>
        <w:t>Scalable Pseudo-Labeling: Multi-scale GradCAM++ generated 3,104 high-quality pseudo-labels from image-level annotations</w:t>
      </w:r>
    </w:p>
    <w:p>
      <w:pPr>
        <w:pStyle w:val="ListBullet"/>
        <w:jc w:val="both"/>
      </w:pPr>
      <w:r>
        <w:rPr>
          <w:rFonts w:ascii="Times New Roman" w:hAnsi="Times New Roman"/>
          <w:sz w:val="22"/>
        </w:rPr>
        <w:t>SAM-Enhanced Segmentation: Integration of Segment Anything Model refined pseudo-label boundaries, achieving 0.6712 Dice score and 0.5389 IoU</w:t>
      </w:r>
    </w:p>
    <w:p>
      <w:pPr>
        <w:pStyle w:val="ListBullet"/>
        <w:jc w:val="both"/>
      </w:pPr>
      <w:r>
        <w:rPr>
          <w:rFonts w:ascii="Times New Roman" w:hAnsi="Times New Roman"/>
          <w:sz w:val="22"/>
        </w:rPr>
        <w:t>Practical Deployment: Real-time inference (60 ms per image) enables integration into mobile applications for field use</w:t>
      </w:r>
    </w:p>
    <w:p>
      <w:pPr>
        <w:spacing w:line="276" w:lineRule="auto" w:after="120"/>
        <w:jc w:val="both"/>
      </w:pPr>
      <w:r>
        <w:rPr>
          <w:rFonts w:ascii="Times New Roman" w:hAnsi="Times New Roman"/>
          <w:b w:val="0"/>
          <w:i w:val="0"/>
          <w:sz w:val="22"/>
        </w:rPr>
        <w:t>Limitations and Future Work: Dataset expansion to diverse climates and durian varieties, multi-disease detection on single leaf, temporal disease progression tracking, edge deployment optimization for mobile devices, and active learning with human-in-the-loop refinement.</w:t>
      </w:r>
    </w:p>
    <w:p>
      <w:pPr>
        <w:spacing w:line="276" w:lineRule="auto" w:after="120"/>
        <w:jc w:val="both"/>
      </w:pPr>
      <w:r>
        <w:rPr>
          <w:rFonts w:ascii="Times New Roman" w:hAnsi="Times New Roman"/>
          <w:b w:val="0"/>
          <w:i w:val="0"/>
          <w:sz w:val="22"/>
        </w:rPr>
        <w:t>Our approach demonstrates the potential of combining weak supervision with foundation models to create practical AI systems for agriculture. The methodology is generalizable to other crops and plant diseases, potentially accelerating the adoption of precision agriculture technologies in developing regions.</w:t>
      </w:r>
    </w:p>
    <w:p>
      <w:pPr>
        <w:pStyle w:val="Heading1"/>
        <w:jc w:val="left"/>
      </w:pPr>
      <w:r>
        <w:rPr>
          <w:rFonts w:ascii="Times New Roman" w:hAnsi="Times New Roman"/>
          <w:b/>
          <w:sz w:val="24"/>
        </w:rPr>
        <w:t>ACKNOWLEDGMENTS</w:t>
      </w:r>
    </w:p>
    <w:p>
      <w:pPr>
        <w:spacing w:line="276" w:lineRule="auto" w:after="120"/>
        <w:jc w:val="both"/>
      </w:pPr>
      <w:r>
        <w:rPr>
          <w:rFonts w:ascii="Times New Roman" w:hAnsi="Times New Roman"/>
          <w:b w:val="0"/>
          <w:i w:val="0"/>
          <w:sz w:val="22"/>
        </w:rPr>
        <w:t>We thank the agricultural experts who provided domain knowledge and validated our disease classifications. We acknowledge the use of publicly available pre-trained models (EfficientNet, SAM) which significantly accelerated our research.</w:t>
      </w:r>
    </w:p>
    <w:p>
      <w:pPr>
        <w:pStyle w:val="Heading1"/>
        <w:jc w:val="left"/>
      </w:pPr>
      <w:r>
        <w:rPr>
          <w:rFonts w:ascii="Times New Roman" w:hAnsi="Times New Roman"/>
          <w:b/>
          <w:sz w:val="24"/>
        </w:rPr>
        <w:t>REFERENCES</w:t>
      </w:r>
    </w:p>
    <w:p>
      <w:pPr>
        <w:spacing w:line="276" w:lineRule="auto" w:after="120"/>
        <w:jc w:val="both"/>
      </w:pPr>
      <w:r>
        <w:rPr>
          <w:rFonts w:ascii="Times New Roman" w:hAnsi="Times New Roman"/>
          <w:b w:val="0"/>
          <w:i w:val="0"/>
          <w:sz w:val="22"/>
        </w:rPr>
        <w:t>[1] S. P. Mohanty, D. P. Hughes, and M. Salathé, "Using deep learning for image-based plant disease detection," Frontiers in Plant Science, vol. 7, p. 1419, 2016.</w:t>
      </w:r>
    </w:p>
    <w:p>
      <w:pPr>
        <w:spacing w:line="276" w:lineRule="auto" w:after="120"/>
        <w:jc w:val="both"/>
      </w:pPr>
      <w:r>
        <w:rPr>
          <w:rFonts w:ascii="Times New Roman" w:hAnsi="Times New Roman"/>
          <w:b w:val="0"/>
          <w:i w:val="0"/>
          <w:sz w:val="22"/>
        </w:rPr>
        <w:t>[2] K. P. Ferentinos, "Deep learning models for plant disease detection and diagnosis," Computers and Electronics in Agriculture, vol. 145, pp. 311-318, 2018.</w:t>
      </w:r>
    </w:p>
    <w:p>
      <w:pPr>
        <w:spacing w:line="276" w:lineRule="auto" w:after="120"/>
        <w:jc w:val="both"/>
      </w:pPr>
      <w:r>
        <w:rPr>
          <w:rFonts w:ascii="Times New Roman" w:hAnsi="Times New Roman"/>
          <w:b w:val="0"/>
          <w:i w:val="0"/>
          <w:sz w:val="22"/>
        </w:rPr>
        <w:t>[3] E. C. Too, L. Yujian, S. Njuki, and L. Yingchun, "A comparative study of fine-tuning deep learning models for plant disease identification," Computers and Electronics in Agriculture, vol. 161, pp. 272-279, 2019.</w:t>
      </w:r>
    </w:p>
    <w:p>
      <w:pPr>
        <w:spacing w:line="276" w:lineRule="auto" w:after="120"/>
        <w:jc w:val="both"/>
      </w:pPr>
      <w:r>
        <w:rPr>
          <w:rFonts w:ascii="Times New Roman" w:hAnsi="Times New Roman"/>
          <w:b w:val="0"/>
          <w:i w:val="0"/>
          <w:sz w:val="22"/>
        </w:rPr>
        <w:t>[4] R. R. Selvaraju, M. Cogswell, A. Das, R. Vedantam, D. Parikh, and D. Batra, "Grad-CAM: Visual explanations from deep networks via gradient-based localization," in Proc. IEEE Int. Conf. Computer Vision (ICCV), 2017, pp. 618-626.</w:t>
      </w:r>
    </w:p>
    <w:p>
      <w:pPr>
        <w:spacing w:line="276" w:lineRule="auto" w:after="120"/>
        <w:jc w:val="both"/>
      </w:pPr>
      <w:r>
        <w:rPr>
          <w:rFonts w:ascii="Times New Roman" w:hAnsi="Times New Roman"/>
          <w:b w:val="0"/>
          <w:i w:val="0"/>
          <w:sz w:val="22"/>
        </w:rPr>
        <w:t>[5] A. Chattopadhay, A. Sarkar, P. Howlader, and V. N. Balasubramanian, "Grad-CAM++: Generalized gradient-based visual explanations for deep convolutional networks," in Proc. IEEE Winter Conf. Applications of Computer Vision (WACV), 2018, pp. 839-847.</w:t>
      </w:r>
    </w:p>
    <w:p>
      <w:pPr>
        <w:spacing w:line="276" w:lineRule="auto" w:after="120"/>
        <w:jc w:val="both"/>
      </w:pPr>
      <w:r>
        <w:rPr>
          <w:rFonts w:ascii="Times New Roman" w:hAnsi="Times New Roman"/>
          <w:b w:val="0"/>
          <w:i w:val="0"/>
          <w:sz w:val="22"/>
        </w:rPr>
        <w:t>[6] J. G. A. Barbedo, "Plant disease identification from individual lesions and spots using deep learning," Biosystems Engineering, vol. 180, pp. 96-107, 2019.</w:t>
      </w:r>
    </w:p>
    <w:p>
      <w:pPr>
        <w:spacing w:line="276" w:lineRule="auto" w:after="120"/>
        <w:jc w:val="both"/>
      </w:pPr>
      <w:r>
        <w:rPr>
          <w:rFonts w:ascii="Times New Roman" w:hAnsi="Times New Roman"/>
          <w:b w:val="0"/>
          <w:i w:val="0"/>
          <w:sz w:val="22"/>
        </w:rPr>
        <w:t>[7] A. Kirillov et al., "Segment anything," in Proc. IEEE Int. Conf. Computer Vision (ICCV), 2023, pp. 4015-4026.</w:t>
      </w:r>
    </w:p>
    <w:p>
      <w:pPr>
        <w:spacing w:line="276" w:lineRule="auto" w:after="120"/>
        <w:jc w:val="both"/>
      </w:pPr>
      <w:r>
        <w:rPr>
          <w:rFonts w:ascii="Times New Roman" w:hAnsi="Times New Roman"/>
          <w:b w:val="0"/>
          <w:i w:val="0"/>
          <w:sz w:val="22"/>
        </w:rPr>
        <w:t>[8] M. Tan and Q. V. Le, "EfficientNet: Rethinking model scaling for convolutional neural networks," in Proc. Int. Conf. Machine Learning (ICML), 2019, pp. 6105-6114.</w:t>
      </w:r>
    </w:p>
    <w:p>
      <w:pPr>
        <w:spacing w:line="276" w:lineRule="auto" w:after="120"/>
        <w:jc w:val="both"/>
      </w:pPr>
      <w:r>
        <w:rPr>
          <w:rFonts w:ascii="Times New Roman" w:hAnsi="Times New Roman"/>
          <w:b w:val="0"/>
          <w:i w:val="0"/>
          <w:sz w:val="22"/>
        </w:rPr>
        <w:t>[9] Z. Zhou, M. M. R. Siddiquee, N. Tajbakhsh, and J. Liang, "UNet++: A nested U-Net architecture for medical image segmentation," in Deep Learning in Medical Image Analysis, 2018, pp. 3-11.</w:t>
      </w:r>
    </w:p>
    <w:p>
      <w:pPr>
        <w:spacing w:line="276" w:lineRule="auto" w:after="120"/>
        <w:jc w:val="both"/>
      </w:pPr>
      <w:r>
        <w:rPr>
          <w:rFonts w:ascii="Times New Roman" w:hAnsi="Times New Roman"/>
          <w:b w:val="0"/>
          <w:i w:val="0"/>
          <w:sz w:val="22"/>
        </w:rPr>
        <w:t>[10] N. Otsu, "A threshold selection method from gray-level histograms," IEEE Trans. Systems, Man, and Cybernetics, vol. 9, no. 1, pp. 62-66, 1979.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