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doanh thu Q1/2026</w:t>
      </w:r>
    </w:p>
    <w:p>
      <w:r>
        <w:t>Tổng quan kết quả kinh doanh quý 1 năm 2026 của Hasaki. Số liệu chưa kiểm toán, chỉ dùng nội bộ.</w:t>
      </w:r>
    </w:p>
    <w:p>
      <w:pPr>
        <w:pStyle w:val="Heading1"/>
      </w:pPr>
      <w:r>
        <w:t>Doanh thu theo kênh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Kênh</w:t>
            </w:r>
          </w:p>
        </w:tc>
        <w:tc>
          <w:tcPr>
            <w:tcW w:type="dxa" w:w="2880"/>
          </w:tcPr>
          <w:p>
            <w:r>
              <w:t>Doanh thu (triệu VND)</w:t>
            </w:r>
          </w:p>
        </w:tc>
        <w:tc>
          <w:tcPr>
            <w:tcW w:type="dxa" w:w="2880"/>
          </w:tcPr>
          <w:p>
            <w:r>
              <w:t>Tăng trưởng</w:t>
            </w:r>
          </w:p>
        </w:tc>
      </w:tr>
      <w:tr>
        <w:tc>
          <w:tcPr>
            <w:tcW w:type="dxa" w:w="2880"/>
          </w:tcPr>
          <w:p>
            <w:r>
              <w:t>Cửa hàng</w:t>
            </w:r>
          </w:p>
        </w:tc>
        <w:tc>
          <w:tcPr>
            <w:tcW w:type="dxa" w:w="2880"/>
          </w:tcPr>
          <w:p>
            <w:r>
              <w:t>1.250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Online</w:t>
            </w:r>
          </w:p>
        </w:tc>
        <w:tc>
          <w:tcPr>
            <w:tcW w:type="dxa" w:w="2880"/>
          </w:tcPr>
          <w:p>
            <w:r>
              <w:t>2.340</w:t>
            </w:r>
          </w:p>
        </w:tc>
        <w:tc>
          <w:tcPr>
            <w:tcW w:type="dxa" w:w="2880"/>
          </w:tcPr>
          <w:p>
            <w:r>
              <w:t>+45%</w:t>
            </w:r>
          </w:p>
        </w:tc>
      </w:tr>
      <w:tr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+78%</w:t>
            </w:r>
          </w:p>
        </w:tc>
      </w:tr>
    </w:tbl>
    <w:p>
      <w:r>
        <w:t>Mảng Skincare vẫn dẫn đầu, chiếm 42% tổng doanh thu.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