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ssq2e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wadasd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dasd</w:t>
      </w:r>
    </w:p>
    <w:p w14:paraId="0000000A">
      <w:pPr>
        <w:rPr/>
      </w:pPr>
      <w:r>
        <w:rPr>
          <w:rtl w:val="false"/>
        </w:rPr>
        <w:t xml:space="preserve">Ngày kết thúc: adsad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adsad</w:t>
      </w:r>
    </w:p>
    <w:p w14:paraId="0000000D">
      <w:pPr>
        <w:rPr/>
      </w:pPr>
      <w:r>
        <w:rPr>
          <w:rtl w:val="false"/>
        </w:rPr>
        <w:t xml:space="preserve">Mức lương: adsad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dasdas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