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HD001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Công ty TNHH ABC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Nguyễn Văn A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2025-09-01</w:t>
      </w:r>
    </w:p>
    <w:p w14:paraId="0000000A">
      <w:pPr>
        <w:rPr/>
      </w:pPr>
      <w:r>
        <w:rPr>
          <w:rtl w:val="false"/>
        </w:rPr>
        <w:t xml:space="preserve">Ngày kết thúc: 2026-09-01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position</w:t>
      </w:r>
    </w:p>
    <w:p w14:paraId="0000000D">
      <w:pPr>
        <w:rPr/>
      </w:pPr>
      <w:r>
        <w:rPr>
          <w:rtl w:val="false"/>
        </w:rPr>
        <w:t xml:space="preserve">Mức lương: 20,000,000 VND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representative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