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sss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p w14:paraId="00000013">
      <w:pPr>
        <w:rPr/>
      </w:pPr>
      <w:r>
        <w:rPr>
          <w:rtl w:val="false"/>
        </w:rPr>
      </w:r>
    </w:p>
    <w:p w14:paraId="00000014">
      <w:pPr>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sz w:val="28"/>
          <w:szCs w:val="28"/>
          <w:rtl w:val="false"/>
        </w:rPr>
        <w:t xml:space="preserve">Sign</w:t>
      </w:r>
      <w:r>
        <w:rPr>
          <w:rtl w:val="false"/>
        </w:rPr>
      </w:r>
    </w:p>
    <w:p w14:paraId="00000015">
      <w:pPr>
        <w:rPr/>
      </w:pPr>
      <w:r>
        <w:rPr>
          <w:rtl w:val="false"/>
        </w:rPr>
      </w:r>
    </w:p>
    <w:p w14:paraId="00000016">
      <w:pPr>
        <w:rPr/>
      </w:pPr>
      <w:r>
        <w:rPr>
          <w:rtl w:val="false"/>
        </w:rPr>
      </w:r>
    </w:p>
    <w:p w14:paraId="00000017">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8">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9">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A">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D">
      <w:pPr>
        <w:rPr/>
      </w:pPr>
      <w:r>
        <w:rPr>
          <w:rtl w:val="false"/>
        </w:rPr>
      </w:r>
    </w:p>
    <w:p w14:paraId="0000001E">
      <w:pPr>
        <w:rPr/>
      </w:pPr>
      <w:r>
        <w:rPr>
          <w:rtl w:val="false"/>
        </w:rPr>
      </w:r>
    </w:p>
    <w:p w14:paraId="0000001F">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8">
      <w:pPr>
        <w:rPr/>
      </w:pPr>
      <w:r>
        <w:rPr>
          <w:rtl w:val="false"/>
        </w:rPr>
      </w:r>
    </w:p>
    <w:p w14:paraId="00000049">
      <w:pPr>
        <w:rPr/>
      </w:pPr>
      <w:r>
        <w:rPr>
          <w:rtl w:val="false"/>
        </w:rPr>
      </w:r>
    </w:p>
    <w:p w14:paraId="0000004A">
      <w:pPr>
        <w:rPr/>
      </w:pPr>
      <w:r>
        <w:rPr>
          <w:rtl w:val="false"/>
        </w:rPr>
        <w:t xml:space="preserve">            </w:t>
      </w:r>
    </w:p>
    <w:p w14:paraId="0000004B">
      <w:pPr>
        <w:rPr/>
      </w:pPr>
      <w:r>
        <w:rPr>
          <w:rtl w:val="false"/>
        </w:rPr>
      </w:r>
    </w:p>
    <w:p w14:paraId="0000004C">
      <w:pPr>
        <w:rPr/>
      </w:pPr>
      <w:r>
        <w:rPr>
          <w:rtl w:val="false"/>
        </w:rPr>
      </w:r>
    </w:p>
    <w:p w14:paraId="0000004D">
      <w:pPr>
        <w:rPr/>
      </w:pPr>
      <w:r>
        <w:rPr>
          <w:rtl w:val="false"/>
        </w:rPr>
      </w:r>
    </w:p>
    <w:p w14:paraId="0000004E">
      <w:pPr>
        <w:rPr/>
      </w:pPr>
      <w:r>
        <w:rPr>
          <w:rtl w:val="false"/>
        </w:rPr>
      </w:r>
    </w:p>
    <w:p w14:paraId="0000004F">
      <w:pPr>
        <w:rPr/>
      </w:pPr>
      <w:r>
        <w:rPr>
          <w:rtl w:val="false"/>
        </w:rPr>
      </w:r>
    </w:p>
    <w:p w14:paraId="00000050">
      <w:pPr>
        <w:rPr/>
      </w:pPr>
      <w:r>
        <w:rPr>
          <w:rtl w:val="false"/>
        </w:rPr>
      </w:r>
    </w:p>
    <w:p w14:paraId="00000051">
      <w:pPr>
        <w:rPr>
          <w:rFonts w:ascii="Times New Roman" w:hAnsi="Times New Roman" w:eastAsia="Times New Roman" w:cs="Times New Roman"/>
          <w:b w:val="true"/>
          <w:sz w:val="28"/>
          <w:szCs w:val="28"/>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b w:val="true"/>
          <w:sz w:val="28"/>
          <w:szCs w:val="28"/>
          <w:shd w:val="clear" w:fill="f5f7fa"/>
          <w:rtl w:val="false"/>
        </w:rPr>
        <w:t xml:space="preserve">Nguyen Van A1</w:t>
      </w:r>
      <w:r>
        <w:rPr>
          <w:rtl w:val="false"/>
        </w:rPr>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