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49"/>
        <w:tblW w:w="0" w:type="auto"/>
        <w:tblCellSpacing w:w="0" w:type="dxa"/>
        <w:tblCellMar>
          <w:left w:w="0" w:type="dxa"/>
          <w:right w:w="0" w:type="dxa"/>
        </w:tblCellMar>
        <w:tblLook w:val="04A0" w:firstRow="1" w:lastRow="0" w:firstColumn="1" w:lastColumn="0" w:noHBand="0" w:noVBand="1"/>
      </w:tblPr>
      <w:tblGrid>
        <w:gridCol w:w="3348"/>
        <w:gridCol w:w="5508"/>
      </w:tblGrid>
      <w:tr w:rsidR="002F16FC" w:rsidRPr="00332C1C" w:rsidTr="002F16FC">
        <w:trPr>
          <w:tblCellSpacing w:w="0" w:type="dxa"/>
        </w:trPr>
        <w:tc>
          <w:tcPr>
            <w:tcW w:w="3348" w:type="dxa"/>
            <w:tcMar>
              <w:top w:w="0" w:type="dxa"/>
              <w:left w:w="108" w:type="dxa"/>
              <w:bottom w:w="0" w:type="dxa"/>
              <w:right w:w="108" w:type="dxa"/>
            </w:tcMar>
            <w:hideMark/>
          </w:tcPr>
          <w:p w:rsidR="002F16FC" w:rsidRPr="00332C1C" w:rsidRDefault="002F16FC" w:rsidP="002F16FC">
            <w:pPr>
              <w:spacing w:before="120" w:after="120" w:line="234" w:lineRule="atLeast"/>
              <w:jc w:val="center"/>
              <w:rPr>
                <w:rFonts w:ascii="Times New Roman" w:eastAsia="Times New Roman" w:hAnsi="Times New Roman" w:cs="Times New Roman"/>
                <w:sz w:val="24"/>
                <w:szCs w:val="24"/>
              </w:rPr>
            </w:pPr>
            <w:r w:rsidRPr="00332C1C">
              <w:rPr>
                <w:rFonts w:ascii="Times New Roman" w:eastAsia="Times New Roman" w:hAnsi="Times New Roman" w:cs="Times New Roman"/>
                <w:sz w:val="24"/>
                <w:szCs w:val="24"/>
              </w:rPr>
              <w:t>TÊ</w:t>
            </w:r>
            <w:r w:rsidRPr="00332C1C">
              <w:rPr>
                <w:rFonts w:ascii="Times New Roman" w:eastAsia="Times New Roman" w:hAnsi="Times New Roman" w:cs="Times New Roman"/>
                <w:sz w:val="24"/>
                <w:szCs w:val="24"/>
                <w:lang w:val="vi-VN"/>
              </w:rPr>
              <w:t>N</w:t>
            </w:r>
            <w:r w:rsidRPr="00332C1C">
              <w:rPr>
                <w:rFonts w:ascii="Times New Roman" w:eastAsia="Times New Roman" w:hAnsi="Times New Roman" w:cs="Times New Roman"/>
                <w:sz w:val="24"/>
                <w:szCs w:val="24"/>
              </w:rPr>
              <w:t> CƠ QUAN</w:t>
            </w:r>
            <w:r w:rsidRPr="00332C1C">
              <w:rPr>
                <w:rFonts w:ascii="Times New Roman" w:eastAsia="Times New Roman" w:hAnsi="Times New Roman" w:cs="Times New Roman"/>
                <w:sz w:val="24"/>
                <w:szCs w:val="24"/>
                <w:lang w:val="vi-VN"/>
              </w:rPr>
              <w:t>, TỔ CHỨC</w:t>
            </w:r>
            <w:r w:rsidRPr="00332C1C">
              <w:rPr>
                <w:rFonts w:ascii="Times New Roman" w:eastAsia="Times New Roman" w:hAnsi="Times New Roman" w:cs="Times New Roman"/>
                <w:sz w:val="24"/>
                <w:szCs w:val="24"/>
              </w:rPr>
              <w:t> (1)</w:t>
            </w:r>
            <w:r w:rsidRPr="00332C1C">
              <w:rPr>
                <w:rFonts w:ascii="Times New Roman" w:eastAsia="Times New Roman" w:hAnsi="Times New Roman" w:cs="Times New Roman"/>
                <w:sz w:val="24"/>
                <w:szCs w:val="24"/>
              </w:rPr>
              <w:br/>
            </w:r>
            <w:r w:rsidRPr="00332C1C">
              <w:rPr>
                <w:rFonts w:ascii="Times New Roman" w:eastAsia="Times New Roman" w:hAnsi="Times New Roman" w:cs="Times New Roman"/>
                <w:b/>
                <w:bCs/>
                <w:sz w:val="24"/>
                <w:szCs w:val="24"/>
              </w:rPr>
              <w:t>TÊN </w:t>
            </w:r>
            <w:r w:rsidRPr="00332C1C">
              <w:rPr>
                <w:rFonts w:ascii="Times New Roman" w:eastAsia="Times New Roman" w:hAnsi="Times New Roman" w:cs="Times New Roman"/>
                <w:b/>
                <w:bCs/>
                <w:sz w:val="24"/>
                <w:szCs w:val="24"/>
                <w:lang w:val="vi-VN"/>
              </w:rPr>
              <w:t>ĐƠN VỊ (2)</w:t>
            </w:r>
            <w:r w:rsidRPr="00332C1C">
              <w:rPr>
                <w:rFonts w:ascii="Times New Roman" w:eastAsia="Times New Roman" w:hAnsi="Times New Roman" w:cs="Times New Roman"/>
                <w:b/>
                <w:bCs/>
                <w:sz w:val="24"/>
                <w:szCs w:val="24"/>
                <w:lang w:val="vi-VN"/>
              </w:rPr>
              <w:br/>
              <w:t>-------</w:t>
            </w:r>
          </w:p>
        </w:tc>
        <w:tc>
          <w:tcPr>
            <w:tcW w:w="5508" w:type="dxa"/>
            <w:tcMar>
              <w:top w:w="0" w:type="dxa"/>
              <w:left w:w="108" w:type="dxa"/>
              <w:bottom w:w="0" w:type="dxa"/>
              <w:right w:w="108" w:type="dxa"/>
            </w:tcMar>
            <w:hideMark/>
          </w:tcPr>
          <w:p w:rsidR="002F16FC" w:rsidRPr="00332C1C" w:rsidRDefault="002F16FC" w:rsidP="002F16FC">
            <w:pPr>
              <w:spacing w:before="120" w:after="120" w:line="234" w:lineRule="atLeast"/>
              <w:jc w:val="center"/>
              <w:rPr>
                <w:rFonts w:ascii="Times New Roman" w:eastAsia="Times New Roman" w:hAnsi="Times New Roman" w:cs="Times New Roman"/>
                <w:sz w:val="24"/>
                <w:szCs w:val="24"/>
              </w:rPr>
            </w:pPr>
            <w:r w:rsidRPr="00332C1C">
              <w:rPr>
                <w:rFonts w:ascii="Times New Roman" w:eastAsia="Times New Roman" w:hAnsi="Times New Roman" w:cs="Times New Roman"/>
                <w:b/>
                <w:bCs/>
                <w:sz w:val="24"/>
                <w:szCs w:val="24"/>
                <w:lang w:val="vi-VN"/>
              </w:rPr>
              <w:t>CỘNG HÒA XÃ HỘI CHỦ NGHĨA VIỆT NAM</w:t>
            </w:r>
            <w:r w:rsidRPr="00332C1C">
              <w:rPr>
                <w:rFonts w:ascii="Times New Roman" w:eastAsia="Times New Roman" w:hAnsi="Times New Roman" w:cs="Times New Roman"/>
                <w:b/>
                <w:bCs/>
                <w:sz w:val="24"/>
                <w:szCs w:val="24"/>
                <w:lang w:val="vi-VN"/>
              </w:rPr>
              <w:br/>
              <w:t>Độc lập - Tự do - Hạnh phúc</w:t>
            </w:r>
            <w:r w:rsidRPr="00332C1C">
              <w:rPr>
                <w:rFonts w:ascii="Times New Roman" w:eastAsia="Times New Roman" w:hAnsi="Times New Roman" w:cs="Times New Roman"/>
                <w:b/>
                <w:bCs/>
                <w:sz w:val="24"/>
                <w:szCs w:val="24"/>
                <w:lang w:val="vi-VN"/>
              </w:rPr>
              <w:br/>
              <w:t>---------------</w:t>
            </w:r>
          </w:p>
        </w:tc>
      </w:tr>
    </w:tbl>
    <w:p w:rsidR="002F16FC" w:rsidRPr="00332C1C" w:rsidRDefault="002F16FC" w:rsidP="002F16FC">
      <w:pPr>
        <w:spacing w:before="120" w:after="120" w:line="234" w:lineRule="atLeast"/>
        <w:rPr>
          <w:rFonts w:ascii="Times New Roman" w:eastAsia="Times New Roman" w:hAnsi="Times New Roman" w:cs="Times New Roman"/>
          <w:sz w:val="24"/>
          <w:szCs w:val="24"/>
        </w:rPr>
      </w:pPr>
    </w:p>
    <w:p w:rsidR="002F16FC" w:rsidRPr="00332C1C" w:rsidRDefault="002F16FC" w:rsidP="002F16FC">
      <w:pPr>
        <w:spacing w:before="120" w:after="120" w:line="234" w:lineRule="atLeast"/>
        <w:rPr>
          <w:rFonts w:ascii="Times New Roman" w:eastAsia="Times New Roman" w:hAnsi="Times New Roman" w:cs="Times New Roman"/>
          <w:sz w:val="24"/>
          <w:szCs w:val="24"/>
        </w:rPr>
      </w:pPr>
      <w:r w:rsidRPr="00332C1C">
        <w:rPr>
          <w:rFonts w:ascii="Times New Roman" w:eastAsia="Times New Roman" w:hAnsi="Times New Roman" w:cs="Times New Roman"/>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6895"/>
        <w:gridCol w:w="2455"/>
      </w:tblGrid>
      <w:tr w:rsidR="002F16FC" w:rsidRPr="00332C1C" w:rsidTr="006F7F67">
        <w:trPr>
          <w:tblCellSpacing w:w="0" w:type="dxa"/>
        </w:trPr>
        <w:tc>
          <w:tcPr>
            <w:tcW w:w="3650" w:type="pct"/>
            <w:tcBorders>
              <w:top w:val="nil"/>
              <w:left w:val="nil"/>
              <w:bottom w:val="nil"/>
              <w:right w:val="single" w:sz="8" w:space="0" w:color="auto"/>
            </w:tcBorders>
            <w:hideMark/>
          </w:tcPr>
          <w:p w:rsidR="002F16FC" w:rsidRPr="00332C1C" w:rsidRDefault="002F16FC" w:rsidP="006F7F67">
            <w:pPr>
              <w:spacing w:before="120" w:after="120" w:line="234" w:lineRule="atLeast"/>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bookmarkStart w:id="0" w:name="_GoBack"/>
            <w:bookmarkEnd w:id="0"/>
            <w:r>
              <w:rPr>
                <w:rFonts w:ascii="Times New Roman" w:eastAsia="Times New Roman" w:hAnsi="Times New Roman" w:cs="Times New Roman"/>
                <w:b/>
                <w:bCs/>
                <w:sz w:val="24"/>
                <w:szCs w:val="24"/>
              </w:rPr>
              <w:t>ÔNG VĂN ĐI</w:t>
            </w:r>
            <w:r w:rsidRPr="00332C1C">
              <w:rPr>
                <w:rFonts w:ascii="Times New Roman" w:eastAsia="Times New Roman" w:hAnsi="Times New Roman" w:cs="Times New Roman"/>
                <w:b/>
                <w:bCs/>
                <w:sz w:val="24"/>
                <w:szCs w:val="24"/>
                <w:lang w:val="vi-VN"/>
              </w:rPr>
              <w:t xml:space="preserve"> (*)</w:t>
            </w:r>
          </w:p>
        </w:tc>
        <w:tc>
          <w:tcPr>
            <w:tcW w:w="1300" w:type="pct"/>
            <w:vMerge w:val="restart"/>
            <w:tcBorders>
              <w:top w:val="single" w:sz="8" w:space="0" w:color="auto"/>
              <w:left w:val="nil"/>
              <w:bottom w:val="single" w:sz="8" w:space="0" w:color="auto"/>
              <w:right w:val="single" w:sz="8" w:space="0" w:color="auto"/>
            </w:tcBorders>
            <w:hideMark/>
          </w:tcPr>
          <w:p w:rsidR="002F16FC" w:rsidRPr="00332C1C" w:rsidRDefault="002F16FC" w:rsidP="006F7F67">
            <w:pPr>
              <w:spacing w:before="120" w:after="120" w:line="234" w:lineRule="atLeast"/>
              <w:rPr>
                <w:rFonts w:ascii="Times New Roman" w:eastAsia="Times New Roman" w:hAnsi="Times New Roman" w:cs="Times New Roman"/>
                <w:sz w:val="24"/>
                <w:szCs w:val="24"/>
              </w:rPr>
            </w:pPr>
            <w:r w:rsidRPr="00332C1C">
              <w:rPr>
                <w:rFonts w:ascii="Times New Roman" w:eastAsia="Times New Roman" w:hAnsi="Times New Roman" w:cs="Times New Roman"/>
                <w:sz w:val="24"/>
                <w:szCs w:val="24"/>
                <w:lang w:val="vi-VN"/>
              </w:rPr>
              <w:t>Văn thư cơ quan ghi:</w:t>
            </w:r>
            <w:r w:rsidRPr="00332C1C">
              <w:rPr>
                <w:rFonts w:ascii="Times New Roman" w:eastAsia="Times New Roman" w:hAnsi="Times New Roman" w:cs="Times New Roman"/>
                <w:sz w:val="24"/>
                <w:szCs w:val="24"/>
              </w:rPr>
              <w:br/>
              <w:t>Số: ……….</w:t>
            </w:r>
            <w:r w:rsidRPr="00332C1C">
              <w:rPr>
                <w:rFonts w:ascii="Times New Roman" w:eastAsia="Times New Roman" w:hAnsi="Times New Roman" w:cs="Times New Roman"/>
                <w:sz w:val="24"/>
                <w:szCs w:val="24"/>
              </w:rPr>
              <w:br/>
              <w:t>Ngày: …….</w:t>
            </w:r>
          </w:p>
        </w:tc>
      </w:tr>
      <w:tr w:rsidR="002F16FC" w:rsidRPr="00332C1C" w:rsidTr="006F7F67">
        <w:trPr>
          <w:tblCellSpacing w:w="0" w:type="dxa"/>
        </w:trPr>
        <w:tc>
          <w:tcPr>
            <w:tcW w:w="3650" w:type="pct"/>
            <w:tcBorders>
              <w:top w:val="nil"/>
              <w:left w:val="nil"/>
              <w:bottom w:val="nil"/>
              <w:right w:val="single" w:sz="8" w:space="0" w:color="auto"/>
            </w:tcBorders>
            <w:hideMark/>
          </w:tcPr>
          <w:p w:rsidR="002F16FC" w:rsidRPr="00332C1C" w:rsidRDefault="002F16FC" w:rsidP="006F7F67">
            <w:pPr>
              <w:spacing w:before="120" w:after="120" w:line="234" w:lineRule="atLeast"/>
              <w:jc w:val="center"/>
              <w:rPr>
                <w:rFonts w:ascii="Times New Roman" w:eastAsia="Times New Roman" w:hAnsi="Times New Roman" w:cs="Times New Roman"/>
                <w:sz w:val="24"/>
                <w:szCs w:val="24"/>
              </w:rPr>
            </w:pPr>
            <w:r w:rsidRPr="00332C1C">
              <w:rPr>
                <w:rFonts w:ascii="Times New Roman" w:eastAsia="Times New Roman" w:hAnsi="Times New Roman" w:cs="Times New Roman"/>
                <w:b/>
                <w:bCs/>
                <w:sz w:val="24"/>
                <w:szCs w:val="24"/>
                <w:lang w:val="vi-VN"/>
              </w:rPr>
              <w:t>Về việc</w:t>
            </w:r>
            <w:r w:rsidRPr="00332C1C">
              <w:rPr>
                <w:rFonts w:ascii="Times New Roman" w:eastAsia="Times New Roman" w:hAnsi="Times New Roman" w:cs="Times New Roman"/>
                <w:b/>
                <w:bCs/>
                <w:sz w:val="24"/>
                <w:szCs w:val="24"/>
              </w:rPr>
              <w:t> ………………</w:t>
            </w:r>
            <w:r w:rsidRPr="00332C1C">
              <w:rPr>
                <w:rFonts w:ascii="Times New Roman" w:eastAsia="Times New Roman" w:hAnsi="Times New Roman" w:cs="Times New Roman"/>
                <w:b/>
                <w:bCs/>
                <w:sz w:val="24"/>
                <w:szCs w:val="24"/>
                <w:lang w:val="vi-VN"/>
              </w:rPr>
              <w:t> (3)</w:t>
            </w:r>
            <w:r w:rsidRPr="00332C1C">
              <w:rPr>
                <w:rFonts w:ascii="Times New Roman" w:eastAsia="Times New Roman" w:hAnsi="Times New Roman" w:cs="Times New Roman"/>
                <w:b/>
                <w:bCs/>
                <w:sz w:val="24"/>
                <w:szCs w:val="24"/>
              </w:rPr>
              <w:t>………………</w:t>
            </w:r>
          </w:p>
        </w:tc>
        <w:tc>
          <w:tcPr>
            <w:tcW w:w="0" w:type="auto"/>
            <w:vMerge/>
            <w:tcBorders>
              <w:top w:val="single" w:sz="8" w:space="0" w:color="auto"/>
              <w:left w:val="nil"/>
              <w:bottom w:val="single" w:sz="8" w:space="0" w:color="auto"/>
              <w:right w:val="single" w:sz="8" w:space="0" w:color="auto"/>
            </w:tcBorders>
            <w:vAlign w:val="center"/>
            <w:hideMark/>
          </w:tcPr>
          <w:p w:rsidR="002F16FC" w:rsidRPr="00332C1C" w:rsidRDefault="002F16FC" w:rsidP="006F7F67">
            <w:pPr>
              <w:spacing w:after="0" w:line="240" w:lineRule="auto"/>
              <w:rPr>
                <w:rFonts w:ascii="Times New Roman" w:eastAsia="Times New Roman" w:hAnsi="Times New Roman" w:cs="Times New Roman"/>
                <w:sz w:val="24"/>
                <w:szCs w:val="24"/>
              </w:rPr>
            </w:pPr>
          </w:p>
        </w:tc>
      </w:tr>
    </w:tbl>
    <w:p w:rsidR="002F16FC" w:rsidRPr="002F16FC" w:rsidRDefault="002F16FC" w:rsidP="002F16FC">
      <w:pPr>
        <w:shd w:val="clear" w:color="auto" w:fill="FFFFFF"/>
        <w:spacing w:after="180" w:line="240" w:lineRule="atLeast"/>
        <w:jc w:val="both"/>
        <w:rPr>
          <w:rFonts w:ascii="Arial" w:eastAsia="Times New Roman" w:hAnsi="Arial" w:cs="Arial"/>
          <w:b/>
          <w:bCs/>
          <w:color w:val="000000"/>
          <w:sz w:val="26"/>
          <w:szCs w:val="26"/>
        </w:rPr>
      </w:pPr>
    </w:p>
    <w:p w:rsidR="002F16FC" w:rsidRPr="002F16FC" w:rsidRDefault="002F16FC" w:rsidP="002F16FC">
      <w:pPr>
        <w:shd w:val="clear" w:color="auto" w:fill="FFFFFF"/>
        <w:spacing w:after="180" w:line="240" w:lineRule="atLeast"/>
        <w:jc w:val="both"/>
        <w:rPr>
          <w:rFonts w:ascii="Arial" w:eastAsia="Times New Roman" w:hAnsi="Arial" w:cs="Arial"/>
          <w:b/>
          <w:bCs/>
          <w:color w:val="000000"/>
          <w:sz w:val="26"/>
          <w:szCs w:val="26"/>
        </w:rPr>
      </w:pPr>
      <w:r w:rsidRPr="002F16FC">
        <w:rPr>
          <w:rFonts w:ascii="Arial" w:eastAsia="Times New Roman" w:hAnsi="Arial" w:cs="Arial"/>
          <w:b/>
          <w:bCs/>
          <w:color w:val="000000"/>
          <w:sz w:val="26"/>
          <w:szCs w:val="26"/>
        </w:rPr>
        <w:t>Bộ VHTTDL vừa ban hành Quyết định số 1189/QĐ-BVHTTDL ngày 26/4/2025 về việc ban hành Kế hoạch tuyển chọn và cử ứng viên đi đào tạo, bồi dưỡng ở nước ngoài năm 2025 theo Quyết định số 1437/QĐ-TTg ngày 19/7/2016 của Thủ tướng Chính phủ.</w:t>
      </w:r>
    </w:p>
    <w:p w:rsidR="002F16FC" w:rsidRPr="002F16FC" w:rsidRDefault="002F16FC" w:rsidP="002F16FC">
      <w:pPr>
        <w:shd w:val="clear" w:color="auto" w:fill="FFFFFF"/>
        <w:spacing w:after="180" w:line="285" w:lineRule="atLeast"/>
        <w:jc w:val="both"/>
        <w:rPr>
          <w:rFonts w:ascii="Arial" w:eastAsia="Times New Roman" w:hAnsi="Arial" w:cs="Arial"/>
          <w:color w:val="262626"/>
          <w:sz w:val="26"/>
          <w:szCs w:val="26"/>
        </w:rPr>
      </w:pPr>
      <w:r w:rsidRPr="002F16FC">
        <w:rPr>
          <w:rFonts w:ascii="Arial" w:eastAsia="Times New Roman" w:hAnsi="Arial" w:cs="Arial"/>
          <w:color w:val="262626"/>
          <w:sz w:val="26"/>
          <w:szCs w:val="26"/>
        </w:rPr>
        <w:t>Theo đó, Bộ trưởng Bộ VHTTDL quyết định giao Vụ Khoa học công nghệ, Đào tạo và Môi trường chủ trì, phối hợp với các đơn vị liên quan tổ chức tuyển chọn ứng viên, cử đi đào tạo, bồi dưỡng ở nước ngoài năm 2025 thuộc lĩnh vực văn hóa nghệ thuật theo Đề án “Đào tạo, bồi dưỡng nhân lực văn hóa nghệ thuật ở nước ngoài đến năm 2030” đã được Thủ tướng Chính phủ phê duyệt tại Quyết định số 1437/QĐ-TTg ngày 19/7/2016.</w:t>
      </w:r>
    </w:p>
    <w:p w:rsidR="002F16FC" w:rsidRPr="002F16FC" w:rsidRDefault="002F16FC" w:rsidP="002F16FC">
      <w:pPr>
        <w:shd w:val="clear" w:color="auto" w:fill="FFFFFF"/>
        <w:spacing w:after="180" w:line="285" w:lineRule="atLeast"/>
        <w:jc w:val="both"/>
        <w:rPr>
          <w:rFonts w:ascii="Arial" w:eastAsia="Times New Roman" w:hAnsi="Arial" w:cs="Arial"/>
          <w:color w:val="262626"/>
          <w:sz w:val="26"/>
          <w:szCs w:val="26"/>
        </w:rPr>
      </w:pPr>
      <w:r w:rsidRPr="002F16FC">
        <w:rPr>
          <w:rFonts w:ascii="Arial" w:eastAsia="Times New Roman" w:hAnsi="Arial" w:cs="Arial"/>
          <w:color w:val="262626"/>
          <w:sz w:val="26"/>
          <w:szCs w:val="26"/>
        </w:rPr>
        <w:t>Kế hoạch Tuyển chọn và cử ứng viên đi đào tạo, bồi dưỡng ở nước ngoài năm 2025 theo Đề án “Đào tạo, bồi dưỡng nhân lực văn hóa nghệ thuật ở nước ngoài đến năm 2030” đã được Thủ tướng Chính phủ phê duyệt tại Quyết định số 1437/QĐ-TTg ngày 19/7/2016 nêu rõ, mục đích của Kế hoạch là lựa chọn các ứng viên đáp ứng yêu cầu về năng lực chuyên môn, rèn luyện và ngoại ngữ để cử đi đào tạo, bồi dưỡng nâng cao trình độ ở nước ngoài, bổ sung nguồn nhân lực chất lượng cao lĩnh vực văn hóa nghệ thuật cho ngành và đất nước theo đúng quan điểm, mục tiêu của Đề án “Đào tạo, bồi dưỡng nhân lực văn hóa nghệ thuật ở nước ngoài đến năm 2030”.</w:t>
      </w:r>
    </w:p>
    <w:p w:rsidR="002F16FC" w:rsidRPr="002F16FC" w:rsidRDefault="002F16FC" w:rsidP="002F16FC">
      <w:pPr>
        <w:shd w:val="clear" w:color="auto" w:fill="FFFFFF"/>
        <w:spacing w:after="180" w:line="285" w:lineRule="atLeast"/>
        <w:jc w:val="both"/>
        <w:rPr>
          <w:rFonts w:ascii="Arial" w:eastAsia="Times New Roman" w:hAnsi="Arial" w:cs="Arial"/>
          <w:color w:val="262626"/>
          <w:sz w:val="26"/>
          <w:szCs w:val="26"/>
        </w:rPr>
      </w:pPr>
      <w:r w:rsidRPr="002F16FC">
        <w:rPr>
          <w:rFonts w:ascii="Arial" w:eastAsia="Times New Roman" w:hAnsi="Arial" w:cs="Arial"/>
          <w:color w:val="262626"/>
          <w:sz w:val="26"/>
          <w:szCs w:val="26"/>
        </w:rPr>
        <w:t>Việc tuyển chọn được đảm bảo thực hiện minh bạch, đúng đối tượng, tiêu chí đã đề ra; Thực hiện đúng các quy định về chỉ tiêu, ngành/chuyên ngành, quốc gia được lựa chọn cử người đi đào tạo, bồi dưỡng. </w:t>
      </w:r>
    </w:p>
    <w:p w:rsidR="002F16FC" w:rsidRPr="002F16FC" w:rsidRDefault="002F16FC" w:rsidP="002F16FC">
      <w:pPr>
        <w:shd w:val="clear" w:color="auto" w:fill="FFFFFF"/>
        <w:spacing w:after="180" w:line="285" w:lineRule="atLeast"/>
        <w:jc w:val="both"/>
        <w:rPr>
          <w:rFonts w:ascii="Arial" w:eastAsia="Times New Roman" w:hAnsi="Arial" w:cs="Arial"/>
          <w:color w:val="262626"/>
          <w:sz w:val="26"/>
          <w:szCs w:val="26"/>
        </w:rPr>
      </w:pPr>
      <w:r w:rsidRPr="002F16FC">
        <w:rPr>
          <w:rFonts w:ascii="Arial" w:eastAsia="Times New Roman" w:hAnsi="Arial" w:cs="Arial"/>
          <w:color w:val="262626"/>
          <w:sz w:val="26"/>
          <w:szCs w:val="26"/>
        </w:rPr>
        <w:t>Kế hoạch cũng nêu rõ các nội dung đào tạo dài hạn bao gồm: Thời gian, phạm vi, hình thức thực hiện; Chỉ tiêu và quốc gia cử đi đào tạo; Đối tượng và tiêu chuẩn dự tuyển; Nguyên tắc và tiêu chí tuyển chọn; Thông báo tuyển sinh và hồ sơ đăng ký dự tuyển; Hội đồng tuyển chọn; Bồi dưỡng ngoại ngữ sau trúng tuyển và bồi dưỡng chính trị, tư tưởng trước khi cử đi đào tạo ở nước ngoài.</w:t>
      </w:r>
    </w:p>
    <w:p w:rsidR="002F16FC" w:rsidRPr="002F16FC" w:rsidRDefault="002F16FC" w:rsidP="002F16FC">
      <w:pPr>
        <w:shd w:val="clear" w:color="auto" w:fill="FFFFFF"/>
        <w:spacing w:after="180" w:line="285" w:lineRule="atLeast"/>
        <w:jc w:val="both"/>
        <w:rPr>
          <w:rFonts w:ascii="Arial" w:eastAsia="Times New Roman" w:hAnsi="Arial" w:cs="Arial"/>
          <w:color w:val="262626"/>
          <w:sz w:val="26"/>
          <w:szCs w:val="26"/>
        </w:rPr>
      </w:pPr>
      <w:r w:rsidRPr="002F16FC">
        <w:rPr>
          <w:rFonts w:ascii="Arial" w:eastAsia="Times New Roman" w:hAnsi="Arial" w:cs="Arial"/>
          <w:color w:val="262626"/>
          <w:sz w:val="26"/>
          <w:szCs w:val="26"/>
        </w:rPr>
        <w:lastRenderedPageBreak/>
        <w:t>Các nội dung bồi dưỡng ngắn hạn gồm: Thời gian, phạm vi, hình thức thực hiện; Chỉ tiêu và quốc gia cử đi bồi dưỡng ngắn hạn; Đối tượng dự tuyển và tiêu chuẩn dự tuyển; Thông báo tuyển sinh và hồ sơ đăng ký dự tuyển; Hội đồng tuyển chọn ứng viên đi thực tập, bồi dưỡng ngắn hạn ở nước ngoài; Liên hệ cơ sở thực tập, bồi dưỡng và cử đi thực tập, bồi dưỡng.</w:t>
      </w:r>
    </w:p>
    <w:p w:rsidR="002F16FC" w:rsidRPr="002F16FC" w:rsidRDefault="002F16FC" w:rsidP="002F16FC">
      <w:pPr>
        <w:shd w:val="clear" w:color="auto" w:fill="FFFFFF"/>
        <w:spacing w:after="180" w:line="285" w:lineRule="atLeast"/>
        <w:jc w:val="both"/>
        <w:rPr>
          <w:rFonts w:ascii="Arial" w:eastAsia="Times New Roman" w:hAnsi="Arial" w:cs="Arial"/>
          <w:color w:val="262626"/>
          <w:sz w:val="26"/>
          <w:szCs w:val="26"/>
        </w:rPr>
      </w:pPr>
      <w:r w:rsidRPr="002F16FC">
        <w:rPr>
          <w:rFonts w:ascii="Arial" w:eastAsia="Times New Roman" w:hAnsi="Arial" w:cs="Arial"/>
          <w:color w:val="262626"/>
          <w:sz w:val="26"/>
          <w:szCs w:val="26"/>
        </w:rPr>
        <w:t>Vụ Khoa học công nghệ, Đào tạo và Môi trường là đơn vị chủ trì tuyển sinh, phối hợp với các đơn vị liên quan xây dựng Thông báo tuyển sinh đi học nước ngoài theo Đề án “Đào tạo, bồi dưỡng nhân lực văn hoá nghệ thuật ở nước ngoài đến năm 2030” trình Lãnh đạo Bộ phê duyệt; là đầu mối tổ chức thực hiện tuyển chọn và cử ứng viên đi đào tạo, bồi dưỡng ở nước ngoài sau khi được phê duyệt.</w:t>
      </w:r>
    </w:p>
    <w:p w:rsidR="002F16FC" w:rsidRPr="002F16FC" w:rsidRDefault="002F16FC" w:rsidP="002F16FC">
      <w:pPr>
        <w:shd w:val="clear" w:color="auto" w:fill="FFFFFF"/>
        <w:spacing w:after="180" w:line="285" w:lineRule="atLeast"/>
        <w:jc w:val="both"/>
        <w:rPr>
          <w:rFonts w:ascii="Arial" w:eastAsia="Times New Roman" w:hAnsi="Arial" w:cs="Arial"/>
          <w:color w:val="262626"/>
          <w:sz w:val="26"/>
          <w:szCs w:val="26"/>
        </w:rPr>
      </w:pPr>
      <w:r w:rsidRPr="002F16FC">
        <w:rPr>
          <w:rFonts w:ascii="Arial" w:eastAsia="Times New Roman" w:hAnsi="Arial" w:cs="Arial"/>
          <w:color w:val="262626"/>
          <w:sz w:val="26"/>
          <w:szCs w:val="26"/>
        </w:rPr>
        <w:t>Các cơ sở đào tạo, viện nghiên cứu, đơn vị biểu diễn và các cơ quan, đơn vị hoạt động trong lĩnh vực văn hóa nghệ thuật phổ biến rộng rãi kế hoạch và thông báo tuyển sinh tới các đối tượng có liên quan; tạo điều kiện thuận lợi cho các ứng viên có đủ điều kiện cần thiết được đăng ký dự tuyển; tổ chức tuyển chọn cấp cơ sở và gửi danh sách kèm theo hồ sơ ứng viên theo đúng thời hạn và quy định dự tuyển; chịu trách nhiệm về kết quả tuyển chọn của đơn vị mình (nếu có) và về nội dung xác nhận trong hồ sơ dự tuyển của ứng viên và cử cá nhân đi đào tạo ở nước ngoài theo hướng dẫn.</w:t>
      </w:r>
    </w:p>
    <w:p w:rsidR="002F16FC" w:rsidRPr="002F16FC" w:rsidRDefault="002F16FC" w:rsidP="002F16FC">
      <w:pPr>
        <w:shd w:val="clear" w:color="auto" w:fill="FFFFFF"/>
        <w:spacing w:after="180" w:line="285" w:lineRule="atLeast"/>
        <w:jc w:val="both"/>
        <w:rPr>
          <w:rFonts w:ascii="Arial" w:eastAsia="Times New Roman" w:hAnsi="Arial" w:cs="Arial"/>
          <w:color w:val="262626"/>
          <w:sz w:val="26"/>
          <w:szCs w:val="26"/>
        </w:rPr>
      </w:pPr>
      <w:r w:rsidRPr="002F16FC">
        <w:rPr>
          <w:rFonts w:ascii="Arial" w:eastAsia="Times New Roman" w:hAnsi="Arial" w:cs="Arial"/>
          <w:color w:val="262626"/>
          <w:sz w:val="26"/>
          <w:szCs w:val="26"/>
        </w:rPr>
        <w:t>Trong quá trình thực hiện Kế hoạch, nếu có vướng mắc, các đơn vị kịp thời báo cáo về Bộ Văn hóa, Thể thao và Du lịch (qua Vụ Khoa học công nghệ, Đào tạo và Môi trường). Vụ Khoa học công nghệ, Đào tạo và Môi trường theo dõi, đôn đốc việc thực hiện Kế hoạch này; tổng hợp, đề xuất lãnh đạo Bộ chỉ đạo, xử lý kịp thời những khó khăn, vướng mắc trong quá trình thực hiện. </w:t>
      </w:r>
    </w:p>
    <w:p w:rsidR="002F16FC" w:rsidRPr="002F16FC" w:rsidRDefault="002F16FC" w:rsidP="002F16FC">
      <w:pPr>
        <w:shd w:val="clear" w:color="auto" w:fill="FFFFFF"/>
        <w:spacing w:after="180" w:line="285" w:lineRule="atLeast"/>
        <w:jc w:val="both"/>
        <w:rPr>
          <w:rFonts w:ascii="Arial" w:eastAsia="Times New Roman" w:hAnsi="Arial" w:cs="Arial"/>
          <w:color w:val="262626"/>
          <w:sz w:val="26"/>
          <w:szCs w:val="26"/>
        </w:rPr>
      </w:pPr>
      <w:r w:rsidRPr="002F16FC">
        <w:rPr>
          <w:rFonts w:ascii="Arial" w:eastAsia="Times New Roman" w:hAnsi="Arial" w:cs="Arial"/>
          <w:color w:val="262626"/>
          <w:sz w:val="26"/>
          <w:szCs w:val="26"/>
        </w:rPr>
        <w:t>Kinh phí triển khai nhiệm vụ tuyển chọn của Hội đồng cấp Bộ và cử ứng viên đi đào tạo, bồi dưỡng ở nước ngoài lĩnh vực văn hóa nghệ thuật năm 2025 trích từ nguồn kinh phí năm 2025 chi tại Văn phòng Bộ Văn hóa, Thể thao và Du lịch về việc triển khai thực hiện Đề án “Đào tạo, bồi dưỡng nhân lực văn nghệ thuật ở nước ngoài đến năm 2030” đã được Thủ tướng Chính phủ phê duyệt tại Quyết định số 1437/QĐ-TTg ngày 19/7/2016./. </w:t>
      </w:r>
    </w:p>
    <w:p w:rsidR="00E16949" w:rsidRPr="002F16FC" w:rsidRDefault="002F16FC" w:rsidP="002F16FC">
      <w:pPr>
        <w:jc w:val="right"/>
        <w:rPr>
          <w:rFonts w:ascii="Times New Roman" w:hAnsi="Times New Roman" w:cs="Times New Roman"/>
          <w:b/>
          <w:sz w:val="26"/>
          <w:szCs w:val="26"/>
        </w:rPr>
      </w:pPr>
      <w:r w:rsidRPr="002F16FC">
        <w:rPr>
          <w:sz w:val="26"/>
          <w:szCs w:val="26"/>
        </w:rPr>
        <w:tab/>
      </w:r>
      <w:r w:rsidRPr="002F16FC">
        <w:rPr>
          <w:rFonts w:ascii="Times New Roman" w:hAnsi="Times New Roman" w:cs="Times New Roman"/>
          <w:b/>
          <w:sz w:val="26"/>
          <w:szCs w:val="26"/>
        </w:rPr>
        <w:t>Xác nhận của lãnh đạo đơn vị</w:t>
      </w:r>
    </w:p>
    <w:sectPr w:rsidR="00E16949" w:rsidRPr="002F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B6D"/>
    <w:rsid w:val="0016178B"/>
    <w:rsid w:val="002F16FC"/>
    <w:rsid w:val="00604F2C"/>
    <w:rsid w:val="00767B6D"/>
    <w:rsid w:val="00E16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93A8"/>
  <w15:chartTrackingRefBased/>
  <w15:docId w15:val="{F03AB276-56F1-4ED0-B297-72A55EC5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o">
    <w:name w:val="sapo"/>
    <w:basedOn w:val="Normal"/>
    <w:rsid w:val="002F16F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16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placeholdershow">
    <w:name w:val="nlplaceholdershow"/>
    <w:basedOn w:val="Normal"/>
    <w:rsid w:val="002F16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616896">
      <w:bodyDiv w:val="1"/>
      <w:marLeft w:val="0"/>
      <w:marRight w:val="0"/>
      <w:marTop w:val="0"/>
      <w:marBottom w:val="0"/>
      <w:divBdr>
        <w:top w:val="none" w:sz="0" w:space="0" w:color="auto"/>
        <w:left w:val="none" w:sz="0" w:space="0" w:color="auto"/>
        <w:bottom w:val="none" w:sz="0" w:space="0" w:color="auto"/>
        <w:right w:val="none" w:sz="0" w:space="0" w:color="auto"/>
      </w:divBdr>
      <w:divsChild>
        <w:div w:id="152995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HOAI</dc:creator>
  <cp:keywords/>
  <dc:description/>
  <cp:lastModifiedBy>BUI THI HOAI</cp:lastModifiedBy>
  <cp:revision>2</cp:revision>
  <dcterms:created xsi:type="dcterms:W3CDTF">2025-04-29T02:21:00Z</dcterms:created>
  <dcterms:modified xsi:type="dcterms:W3CDTF">2025-04-29T02:21:00Z</dcterms:modified>
</cp:coreProperties>
</file>