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CHIFFRAGE DE LA PRESTATION</w:t>
      </w:r>
    </w:p>
    <w:p>
      <w:pPr>
        <w:spacing w:after="200"/>
      </w:pPr>
      <w:r>
        <w:rPr>
          <w:color w:val="2E74B5"/>
          <w:sz w:val="24"/>
          <w:szCs w:val="24"/>
        </w:rPr>
        <w:t xml:space="preserve">Projet Helpdesk Atlas — Portail de tickets &amp; PRA/DR (RPO ≤ 20 min / RTO ≤ 40 min)</w:t>
      </w:r>
    </w:p>
    <w:p>
      <w:pPr>
        <w:pBdr>
          <w:bottom w:val="single" w:color="AAAAAA" w:sz="6" w:space="1"/>
        </w:pBdr>
        <w:spacing w:after="200"/>
      </w:pPr>
    </w:p>
    <w:p>
      <w:pPr>
        <w:pStyle w:val="Heading1"/>
        <w:spacing w:after="180" w:before="380"/>
      </w:pPr>
      <w:r>
        <w:rPr>
          <w:b/>
          <w:bCs/>
          <w:color w:val="1F3864"/>
        </w:rPr>
        <w:t xml:space="preserve">1. Méthodologie de chiffrage</w:t>
      </w:r>
    </w:p>
    <w:p>
      <w:pPr>
        <w:spacing w:after="140"/>
      </w:pPr>
      <w:r>
        <w:t xml:space="preserve">Ce chiffrage reprend, poste par poste, la charge réellement planifiée dans le macro-planning du projet (45 tâches réparties sur 9 phases, 23 semaines / 115 jours ouvrés — voir le planning Gantt fourni en annexe au format vectoriel SVG, Helpdesk-Atlas-Planning-Gantt.svg). Chaque tâche du planning a été valorisée en jours-hommes puis multipliée par le taux journalier moyen (TJM) de l'intervenant responsable ; les tâches partagées entre deux intervenants comptent le second contributeur à 50 % de la durée, ce qui reflète un appui ponctuel plutôt qu'une double mobilisation à temps plein.</w:t>
      </w:r>
    </w:p>
    <w:p>
      <w:pPr>
        <w:spacing w:after="140"/>
      </w:pPr>
      <w:r>
        <w:t xml:space="preserve">Le chiffrage distingue volontairement le coût de revient (charge réelle × TJM), les frais de structure, la provision pour aléas, la marge commerciale, et les coûts d'infrastructure refacturés au réel — une décomposition standard dans une offre de prestation en ESN/SSII, qui permet de justifier chaque ligne du prix final plutôt que d'annoncer un forfait non documenté.</w:t>
      </w:r>
    </w:p>
    <w:p>
      <w:pPr>
        <w:pStyle w:val="Heading1"/>
        <w:spacing w:after="180" w:before="380"/>
      </w:pPr>
      <w:r>
        <w:rPr>
          <w:b/>
          <w:bCs/>
          <w:color w:val="1F3864"/>
        </w:rPr>
        <w:t xml:space="preserve">2. Équipe projet &amp; grille tarifaire (TJM)</w:t>
      </w:r>
    </w:p>
    <w:p>
      <w:pPr>
        <w:spacing w:after="140"/>
      </w:pPr>
      <w:r>
        <w:t xml:space="preserve">Le positionnement tarifaire reflète le profil réel de l'équipe : trois intervenants en première expérience professionnelle significative (niveau Master 1, 0 à 2 ans d'expérience), et non des consultants confirmés. Les TJM retenus sont donc volontairement positionnés en bas de fourchette "junior" du marché 2026, avec source vérifiable pour chaque ligne — un professionnel confirmé (5 ans et plus) facturerait 1,5 à 2 fois ces montants.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400"/>
        <w:gridCol w:w="3200"/>
      </w:tblGrid>
      <w:tr>
        <w:trPr>
          <w:tblHeader/>
        </w:trPr>
        <w:tc>
          <w:tcPr>
            <w:shd w:fill="1F3864" w:val="clear"/>
            <w:tcMar>
              <w:top w:type="dxa" w:w="80"/>
              <w:left w:type="dxa" w:w="100"/>
              <w:bottom w:type="dxa" w:w="80"/>
              <w:right w:type="dxa" w:w="100"/>
            </w:tcMar>
            <w:vAlign w:val="center"/>
          </w:tcPr>
          <w:p>
            <w:pPr>
              <w:jc w:val="left"/>
            </w:pPr>
            <w:r>
              <w:rPr>
                <w:b/>
                <w:bCs/>
                <w:color w:val="FFFFFF"/>
              </w:rPr>
              <w:t xml:space="preserve">Intervenant</w:t>
            </w:r>
          </w:p>
        </w:tc>
        <w:tc>
          <w:tcPr>
            <w:shd w:fill="1F3864" w:val="clear"/>
            <w:tcMar>
              <w:top w:type="dxa" w:w="80"/>
              <w:left w:type="dxa" w:w="100"/>
              <w:bottom w:type="dxa" w:w="80"/>
              <w:right w:type="dxa" w:w="100"/>
            </w:tcMar>
            <w:vAlign w:val="center"/>
          </w:tcPr>
          <w:p>
            <w:pPr>
              <w:jc w:val="left"/>
            </w:pPr>
            <w:r>
              <w:rPr>
                <w:b/>
                <w:bCs/>
                <w:color w:val="FFFFFF"/>
              </w:rPr>
              <w:t xml:space="preserve">Rôle</w:t>
            </w:r>
          </w:p>
        </w:tc>
        <w:tc>
          <w:tcPr>
            <w:shd w:fill="1F3864" w:val="clear"/>
            <w:tcMar>
              <w:top w:type="dxa" w:w="80"/>
              <w:left w:type="dxa" w:w="100"/>
              <w:bottom w:type="dxa" w:w="80"/>
              <w:right w:type="dxa" w:w="100"/>
            </w:tcMar>
            <w:vAlign w:val="center"/>
          </w:tcPr>
          <w:p>
            <w:pPr>
              <w:jc w:val="left"/>
            </w:pPr>
            <w:r>
              <w:rPr>
                <w:b/>
                <w:bCs/>
                <w:color w:val="FFFFFF"/>
              </w:rPr>
              <w:t xml:space="preserve">TJM retenu (HT)</w:t>
            </w:r>
          </w:p>
        </w:tc>
        <w:tc>
          <w:tcPr>
            <w:shd w:fill="1F3864" w:val="clear"/>
            <w:tcMar>
              <w:top w:type="dxa" w:w="80"/>
              <w:left w:type="dxa" w:w="100"/>
              <w:bottom w:type="dxa" w:w="80"/>
              <w:right w:type="dxa" w:w="100"/>
            </w:tcMar>
            <w:vAlign w:val="center"/>
          </w:tcPr>
          <w:p>
            <w:pPr>
              <w:jc w:val="left"/>
            </w:pPr>
            <w:r>
              <w:rPr>
                <w:b/>
                <w:bCs/>
                <w:color w:val="FFFFFF"/>
              </w:rPr>
              <w:t xml:space="preserve">Source / justification</w:t>
            </w:r>
          </w:p>
        </w:tc>
      </w:tr>
      <w:tr>
        <w:tc>
          <w:tcPr>
            <w:tcMar>
              <w:top w:type="dxa" w:w="80"/>
              <w:left w:type="dxa" w:w="100"/>
              <w:bottom w:type="dxa" w:w="80"/>
              <w:right w:type="dxa" w:w="100"/>
            </w:tcMar>
            <w:vAlign w:val="center"/>
          </w:tcPr>
          <w:p>
            <w:pPr>
              <w:jc w:val="left"/>
            </w:pPr>
            <w:r>
              <w:rPr>
                <w:b w:val="false"/>
                <w:bCs w:val="false"/>
              </w:rPr>
              <w:t xml:space="preserve">Harry</w:t>
            </w:r>
          </w:p>
        </w:tc>
        <w:tc>
          <w:tcPr>
            <w:tcMar>
              <w:top w:type="dxa" w:w="80"/>
              <w:left w:type="dxa" w:w="100"/>
              <w:bottom w:type="dxa" w:w="80"/>
              <w:right w:type="dxa" w:w="100"/>
            </w:tcMar>
            <w:vAlign w:val="center"/>
          </w:tcPr>
          <w:p>
            <w:pPr>
              <w:jc w:val="left"/>
            </w:pPr>
            <w:r>
              <w:rPr>
                <w:b w:val="false"/>
                <w:bCs w:val="false"/>
              </w:rPr>
              <w:t xml:space="preserve">Ingénieur Infrastructure &amp; PRA (0-2 ans d'expérience)</w:t>
            </w:r>
          </w:p>
        </w:tc>
        <w:tc>
          <w:tcPr>
            <w:tcMar>
              <w:top w:type="dxa" w:w="80"/>
              <w:left w:type="dxa" w:w="100"/>
              <w:bottom w:type="dxa" w:w="80"/>
              <w:right w:type="dxa" w:w="100"/>
            </w:tcMar>
            <w:vAlign w:val="center"/>
          </w:tcPr>
          <w:p>
            <w:pPr>
              <w:jc w:val="left"/>
            </w:pPr>
            <w:r>
              <w:rPr>
                <w:b w:val="false"/>
                <w:bCs w:val="false"/>
              </w:rPr>
              <w:t xml:space="preserve">350 €/j</w:t>
            </w:r>
          </w:p>
        </w:tc>
        <w:tc>
          <w:tcPr>
            <w:tcMar>
              <w:top w:type="dxa" w:w="80"/>
              <w:left w:type="dxa" w:w="100"/>
              <w:bottom w:type="dxa" w:w="80"/>
              <w:right w:type="dxa" w:w="100"/>
            </w:tcMar>
            <w:vAlign w:val="center"/>
          </w:tcPr>
          <w:p>
            <w:pPr>
              <w:jc w:val="left"/>
            </w:pPr>
            <w:r>
              <w:rPr>
                <w:b w:val="false"/>
                <w:bCs w:val="false"/>
              </w:rPr>
              <w:t xml:space="preserve">Ingénieur Réseau/Système junior 2026 : fourchette 300-400 €/j, médian 350 €/j (baromètre travail-industrie.com, cybersécurité &amp; réseaux, profils 0-2 ans)</w:t>
            </w:r>
          </w:p>
        </w:tc>
      </w:tr>
      <w:tr>
        <w:tc>
          <w:tcPr>
            <w:shd w:fill="F2F2F2" w:val="clear"/>
            <w:tcMar>
              <w:top w:type="dxa" w:w="80"/>
              <w:left w:type="dxa" w:w="100"/>
              <w:bottom w:type="dxa" w:w="80"/>
              <w:right w:type="dxa" w:w="100"/>
            </w:tcMar>
            <w:vAlign w:val="center"/>
          </w:tcPr>
          <w:p>
            <w:pPr>
              <w:jc w:val="left"/>
            </w:pPr>
            <w:r>
              <w:rPr>
                <w:b w:val="false"/>
                <w:bCs w:val="false"/>
              </w:rPr>
              <w:t xml:space="preserve">Quentin</w:t>
            </w:r>
          </w:p>
        </w:tc>
        <w:tc>
          <w:tcPr>
            <w:shd w:fill="F2F2F2" w:val="clear"/>
            <w:tcMar>
              <w:top w:type="dxa" w:w="80"/>
              <w:left w:type="dxa" w:w="100"/>
              <w:bottom w:type="dxa" w:w="80"/>
              <w:right w:type="dxa" w:w="100"/>
            </w:tcMar>
            <w:vAlign w:val="center"/>
          </w:tcPr>
          <w:p>
            <w:pPr>
              <w:jc w:val="left"/>
            </w:pPr>
            <w:r>
              <w:rPr>
                <w:b w:val="false"/>
                <w:bCs w:val="false"/>
              </w:rPr>
              <w:t xml:space="preserve">Architecte Réseaux &amp; Sécurité (0-2 ans, spécialisation sécurité)</w:t>
            </w:r>
          </w:p>
        </w:tc>
        <w:tc>
          <w:tcPr>
            <w:shd w:fill="F2F2F2" w:val="clear"/>
            <w:tcMar>
              <w:top w:type="dxa" w:w="80"/>
              <w:left w:type="dxa" w:w="100"/>
              <w:bottom w:type="dxa" w:w="80"/>
              <w:right w:type="dxa" w:w="100"/>
            </w:tcMar>
            <w:vAlign w:val="center"/>
          </w:tcPr>
          <w:p>
            <w:pPr>
              <w:jc w:val="left"/>
            </w:pPr>
            <w:r>
              <w:rPr>
                <w:b w:val="false"/>
                <w:bCs w:val="false"/>
              </w:rPr>
              <w:t xml:space="preserve">400 €/j</w:t>
            </w:r>
          </w:p>
        </w:tc>
        <w:tc>
          <w:tcPr>
            <w:shd w:fill="F2F2F2" w:val="clear"/>
            <w:tcMar>
              <w:top w:type="dxa" w:w="80"/>
              <w:left w:type="dxa" w:w="100"/>
              <w:bottom w:type="dxa" w:w="80"/>
              <w:right w:type="dxa" w:w="100"/>
            </w:tcMar>
            <w:vAlign w:val="center"/>
          </w:tcPr>
          <w:p>
            <w:pPr>
              <w:jc w:val="left"/>
            </w:pPr>
            <w:r>
              <w:rPr>
                <w:b w:val="false"/>
                <w:bCs w:val="false"/>
              </w:rPr>
              <w:t xml:space="preserve">Haut de la fourchette "ingénieur junior" (350-450 €/j, openwork.fr), majoré car spécialisation sécurité/PKI recherchée — reste sous le seuil "confirmé" (420-450 €/j)</w:t>
            </w:r>
          </w:p>
        </w:tc>
      </w:tr>
      <w:tr>
        <w:tc>
          <w:tcPr>
            <w:tcMar>
              <w:top w:type="dxa" w:w="80"/>
              <w:left w:type="dxa" w:w="100"/>
              <w:bottom w:type="dxa" w:w="80"/>
              <w:right w:type="dxa" w:w="100"/>
            </w:tcMar>
            <w:vAlign w:val="center"/>
          </w:tcPr>
          <w:p>
            <w:pPr>
              <w:jc w:val="left"/>
            </w:pPr>
            <w:r>
              <w:rPr>
                <w:b w:val="false"/>
                <w:bCs w:val="false"/>
              </w:rPr>
              <w:t xml:space="preserve">Thibault</w:t>
            </w:r>
          </w:p>
        </w:tc>
        <w:tc>
          <w:tcPr>
            <w:tcMar>
              <w:top w:type="dxa" w:w="80"/>
              <w:left w:type="dxa" w:w="100"/>
              <w:bottom w:type="dxa" w:w="80"/>
              <w:right w:type="dxa" w:w="100"/>
            </w:tcMar>
            <w:vAlign w:val="center"/>
          </w:tcPr>
          <w:p>
            <w:pPr>
              <w:jc w:val="left"/>
            </w:pPr>
            <w:r>
              <w:rPr>
                <w:b w:val="false"/>
                <w:bCs w:val="false"/>
              </w:rPr>
              <w:t xml:space="preserve">Chef de projet officiel — pilotage transverse, également mobilisé sur l'infrastructure</w:t>
            </w:r>
          </w:p>
        </w:tc>
        <w:tc>
          <w:tcPr>
            <w:tcMar>
              <w:top w:type="dxa" w:w="80"/>
              <w:left w:type="dxa" w:w="100"/>
              <w:bottom w:type="dxa" w:w="80"/>
              <w:right w:type="dxa" w:w="100"/>
            </w:tcMar>
            <w:vAlign w:val="center"/>
          </w:tcPr>
          <w:p>
            <w:pPr>
              <w:jc w:val="left"/>
            </w:pPr>
            <w:r>
              <w:rPr>
                <w:b w:val="false"/>
                <w:bCs w:val="false"/>
              </w:rPr>
              <w:t xml:space="preserve">330 €/j</w:t>
            </w:r>
          </w:p>
        </w:tc>
        <w:tc>
          <w:tcPr>
            <w:tcMar>
              <w:top w:type="dxa" w:w="80"/>
              <w:left w:type="dxa" w:w="100"/>
              <w:bottom w:type="dxa" w:w="80"/>
              <w:right w:type="dxa" w:w="100"/>
            </w:tcMar>
            <w:vAlign w:val="center"/>
          </w:tcPr>
          <w:p>
            <w:pPr>
              <w:jc w:val="left"/>
            </w:pPr>
            <w:r>
              <w:rPr>
                <w:b w:val="false"/>
                <w:bCs w:val="false"/>
              </w:rPr>
              <w:t xml:space="preserve">Chef de projet débutant : moyenne marché 307 €/j (baromètre Malt, cité par RH Solutions, fourchette débutant 120-610 €/j) ; légère majoration pour la double casquette pilotage + exécution technique</w:t>
            </w:r>
          </w:p>
        </w:tc>
      </w:tr>
    </w:tbl>
    <w:p>
      <w:pPr>
        <w:spacing w:after="200" w:before="80"/>
      </w:pPr>
      <w:r>
        <w:rPr>
          <w:i/>
          <w:iCs/>
          <w:color w:val="666666"/>
          <w:sz w:val="20"/>
          <w:szCs w:val="20"/>
        </w:rPr>
        <w:t xml:space="preserve">Sources : « TJM Ingénieur Réseau / Système Junior (0-2 ans) 2026 » (travail-industrie.com) ; « Ingénieurs en portage salarial : comment fixer son TJM » (openwork.fr) ; baromètre Malt 2025/2026 sur le TJM chef de projet débutant, cité par RH Solutions. À titre de comparaison, le TJM médian tous niveaux confondus est de 595 €/j pour un chef de projet et 535 €/j pour un développeur (tjmetre.fr, benchmark 2026, 19 501 observations) — nos TJM juniors se situent nettement en dessous, cohérence directe avec le niveau d'expérience réel de l'équipe.</w:t>
      </w:r>
    </w:p>
    <w:p>
      <w:pPr>
        <w:pStyle w:val="Heading1"/>
        <w:spacing w:after="180" w:before="380"/>
      </w:pPr>
      <w:r>
        <w:rPr>
          <w:b/>
          <w:bCs/>
          <w:color w:val="1F3864"/>
        </w:rPr>
        <w:t xml:space="preserve">3. Charge et coût par intervenant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200"/>
      </w:tblGrid>
      <w:tr>
        <w:trPr>
          <w:tblHeader/>
        </w:trPr>
        <w:tc>
          <w:tcPr>
            <w:shd w:fill="1F3864" w:val="clear"/>
            <w:tcMar>
              <w:top w:type="dxa" w:w="80"/>
              <w:left w:type="dxa" w:w="100"/>
              <w:bottom w:type="dxa" w:w="80"/>
              <w:right w:type="dxa" w:w="100"/>
            </w:tcMar>
            <w:vAlign w:val="center"/>
          </w:tcPr>
          <w:p>
            <w:pPr>
              <w:jc w:val="left"/>
            </w:pPr>
            <w:r>
              <w:rPr>
                <w:b/>
                <w:bCs/>
                <w:color w:val="FFFFFF"/>
              </w:rPr>
              <w:t xml:space="preserve">Intervenant</w:t>
            </w:r>
          </w:p>
        </w:tc>
        <w:tc>
          <w:tcPr>
            <w:shd w:fill="1F3864" w:val="clear"/>
            <w:tcMar>
              <w:top w:type="dxa" w:w="80"/>
              <w:left w:type="dxa" w:w="100"/>
              <w:bottom w:type="dxa" w:w="80"/>
              <w:right w:type="dxa" w:w="100"/>
            </w:tcMar>
            <w:vAlign w:val="center"/>
          </w:tcPr>
          <w:p>
            <w:pPr>
              <w:jc w:val="left"/>
            </w:pPr>
            <w:r>
              <w:rPr>
                <w:b/>
                <w:bCs/>
                <w:color w:val="FFFFFF"/>
              </w:rPr>
              <w:t xml:space="preserve">Jours-hommes mobilisés</w:t>
            </w:r>
          </w:p>
        </w:tc>
        <w:tc>
          <w:tcPr>
            <w:shd w:fill="1F3864" w:val="clear"/>
            <w:tcMar>
              <w:top w:type="dxa" w:w="80"/>
              <w:left w:type="dxa" w:w="100"/>
              <w:bottom w:type="dxa" w:w="80"/>
              <w:right w:type="dxa" w:w="100"/>
            </w:tcMar>
            <w:vAlign w:val="center"/>
          </w:tcPr>
          <w:p>
            <w:pPr>
              <w:jc w:val="left"/>
            </w:pPr>
            <w:r>
              <w:rPr>
                <w:b/>
                <w:bCs/>
                <w:color w:val="FFFFFF"/>
              </w:rPr>
              <w:t xml:space="preserve">TJM</w:t>
            </w:r>
          </w:p>
        </w:tc>
        <w:tc>
          <w:tcPr>
            <w:shd w:fill="1F3864" w:val="clear"/>
            <w:tcMar>
              <w:top w:type="dxa" w:w="80"/>
              <w:left w:type="dxa" w:w="100"/>
              <w:bottom w:type="dxa" w:w="80"/>
              <w:right w:type="dxa" w:w="100"/>
            </w:tcMar>
            <w:vAlign w:val="center"/>
          </w:tcPr>
          <w:p>
            <w:pPr>
              <w:jc w:val="left"/>
            </w:pPr>
            <w:r>
              <w:rPr>
                <w:b/>
                <w:bCs/>
                <w:color w:val="FFFFFF"/>
              </w:rPr>
              <w:t xml:space="preserve">Coût de revient RH</w:t>
            </w:r>
          </w:p>
        </w:tc>
      </w:tr>
      <w:tr>
        <w:tc>
          <w:tcPr>
            <w:tcMar>
              <w:top w:type="dxa" w:w="80"/>
              <w:left w:type="dxa" w:w="100"/>
              <w:bottom w:type="dxa" w:w="80"/>
              <w:right w:type="dxa" w:w="100"/>
            </w:tcMar>
            <w:vAlign w:val="center"/>
          </w:tcPr>
          <w:p>
            <w:pPr>
              <w:jc w:val="left"/>
            </w:pPr>
            <w:r>
              <w:rPr>
                <w:b w:val="false"/>
                <w:bCs w:val="false"/>
              </w:rPr>
              <w:t xml:space="preserve">Harry</w:t>
            </w:r>
          </w:p>
        </w:tc>
        <w:tc>
          <w:tcPr>
            <w:tcMar>
              <w:top w:type="dxa" w:w="80"/>
              <w:left w:type="dxa" w:w="100"/>
              <w:bottom w:type="dxa" w:w="80"/>
              <w:right w:type="dxa" w:w="100"/>
            </w:tcMar>
            <w:vAlign w:val="center"/>
          </w:tcPr>
          <w:p>
            <w:pPr>
              <w:jc w:val="left"/>
            </w:pPr>
            <w:r>
              <w:rPr>
                <w:b w:val="false"/>
                <w:bCs w:val="false"/>
              </w:rPr>
              <w:t xml:space="preserve">86,0 j</w:t>
            </w:r>
          </w:p>
        </w:tc>
        <w:tc>
          <w:tcPr>
            <w:tcMar>
              <w:top w:type="dxa" w:w="80"/>
              <w:left w:type="dxa" w:w="100"/>
              <w:bottom w:type="dxa" w:w="80"/>
              <w:right w:type="dxa" w:w="100"/>
            </w:tcMar>
            <w:vAlign w:val="center"/>
          </w:tcPr>
          <w:p>
            <w:pPr>
              <w:jc w:val="left"/>
            </w:pPr>
            <w:r>
              <w:rPr>
                <w:b w:val="false"/>
                <w:bCs w:val="false"/>
              </w:rPr>
              <w:t xml:space="preserve">350 €</w:t>
            </w:r>
          </w:p>
        </w:tc>
        <w:tc>
          <w:tcPr>
            <w:tcMar>
              <w:top w:type="dxa" w:w="80"/>
              <w:left w:type="dxa" w:w="100"/>
              <w:bottom w:type="dxa" w:w="80"/>
              <w:right w:type="dxa" w:w="100"/>
            </w:tcMar>
            <w:vAlign w:val="center"/>
          </w:tcPr>
          <w:p>
            <w:pPr>
              <w:jc w:val="left"/>
            </w:pPr>
            <w:r>
              <w:rPr>
                <w:b w:val="false"/>
                <w:bCs w:val="false"/>
              </w:rPr>
              <w:t xml:space="preserve">30 100,00 €</w:t>
            </w:r>
          </w:p>
        </w:tc>
      </w:tr>
      <w:tr>
        <w:tc>
          <w:tcPr>
            <w:shd w:fill="F2F2F2" w:val="clear"/>
            <w:tcMar>
              <w:top w:type="dxa" w:w="80"/>
              <w:left w:type="dxa" w:w="100"/>
              <w:bottom w:type="dxa" w:w="80"/>
              <w:right w:type="dxa" w:w="100"/>
            </w:tcMar>
            <w:vAlign w:val="center"/>
          </w:tcPr>
          <w:p>
            <w:pPr>
              <w:jc w:val="left"/>
            </w:pPr>
            <w:r>
              <w:rPr>
                <w:b w:val="false"/>
                <w:bCs w:val="false"/>
              </w:rPr>
              <w:t xml:space="preserve">Quentin</w:t>
            </w:r>
          </w:p>
        </w:tc>
        <w:tc>
          <w:tcPr>
            <w:shd w:fill="F2F2F2" w:val="clear"/>
            <w:tcMar>
              <w:top w:type="dxa" w:w="80"/>
              <w:left w:type="dxa" w:w="100"/>
              <w:bottom w:type="dxa" w:w="80"/>
              <w:right w:type="dxa" w:w="100"/>
            </w:tcMar>
            <w:vAlign w:val="center"/>
          </w:tcPr>
          <w:p>
            <w:pPr>
              <w:jc w:val="left"/>
            </w:pPr>
            <w:r>
              <w:rPr>
                <w:b w:val="false"/>
                <w:bCs w:val="false"/>
              </w:rPr>
              <w:t xml:space="preserve">52,5 j</w:t>
            </w:r>
          </w:p>
        </w:tc>
        <w:tc>
          <w:tcPr>
            <w:shd w:fill="F2F2F2" w:val="clear"/>
            <w:tcMar>
              <w:top w:type="dxa" w:w="80"/>
              <w:left w:type="dxa" w:w="100"/>
              <w:bottom w:type="dxa" w:w="80"/>
              <w:right w:type="dxa" w:w="100"/>
            </w:tcMar>
            <w:vAlign w:val="center"/>
          </w:tcPr>
          <w:p>
            <w:pPr>
              <w:jc w:val="left"/>
            </w:pPr>
            <w:r>
              <w:rPr>
                <w:b w:val="false"/>
                <w:bCs w:val="false"/>
              </w:rPr>
              <w:t xml:space="preserve">400 €</w:t>
            </w:r>
          </w:p>
        </w:tc>
        <w:tc>
          <w:tcPr>
            <w:shd w:fill="F2F2F2" w:val="clear"/>
            <w:tcMar>
              <w:top w:type="dxa" w:w="80"/>
              <w:left w:type="dxa" w:w="100"/>
              <w:bottom w:type="dxa" w:w="80"/>
              <w:right w:type="dxa" w:w="100"/>
            </w:tcMar>
            <w:vAlign w:val="center"/>
          </w:tcPr>
          <w:p>
            <w:pPr>
              <w:jc w:val="left"/>
            </w:pPr>
            <w:r>
              <w:rPr>
                <w:b w:val="false"/>
                <w:bCs w:val="false"/>
              </w:rPr>
              <w:t xml:space="preserve">21 000,00 €</w:t>
            </w:r>
          </w:p>
        </w:tc>
      </w:tr>
      <w:tr>
        <w:tc>
          <w:tcPr>
            <w:tcMar>
              <w:top w:type="dxa" w:w="80"/>
              <w:left w:type="dxa" w:w="100"/>
              <w:bottom w:type="dxa" w:w="80"/>
              <w:right w:type="dxa" w:w="100"/>
            </w:tcMar>
            <w:vAlign w:val="center"/>
          </w:tcPr>
          <w:p>
            <w:pPr>
              <w:jc w:val="left"/>
            </w:pPr>
            <w:r>
              <w:rPr>
                <w:b w:val="false"/>
                <w:bCs w:val="false"/>
              </w:rPr>
              <w:t xml:space="preserve">Thibault</w:t>
            </w:r>
          </w:p>
        </w:tc>
        <w:tc>
          <w:tcPr>
            <w:tcMar>
              <w:top w:type="dxa" w:w="80"/>
              <w:left w:type="dxa" w:w="100"/>
              <w:bottom w:type="dxa" w:w="80"/>
              <w:right w:type="dxa" w:w="100"/>
            </w:tcMar>
            <w:vAlign w:val="center"/>
          </w:tcPr>
          <w:p>
            <w:pPr>
              <w:jc w:val="left"/>
            </w:pPr>
            <w:r>
              <w:rPr>
                <w:b w:val="false"/>
                <w:bCs w:val="false"/>
              </w:rPr>
              <w:t xml:space="preserve">56,0 j</w:t>
            </w:r>
          </w:p>
        </w:tc>
        <w:tc>
          <w:tcPr>
            <w:tcMar>
              <w:top w:type="dxa" w:w="80"/>
              <w:left w:type="dxa" w:w="100"/>
              <w:bottom w:type="dxa" w:w="80"/>
              <w:right w:type="dxa" w:w="100"/>
            </w:tcMar>
            <w:vAlign w:val="center"/>
          </w:tcPr>
          <w:p>
            <w:pPr>
              <w:jc w:val="left"/>
            </w:pPr>
            <w:r>
              <w:rPr>
                <w:b w:val="false"/>
                <w:bCs w:val="false"/>
              </w:rPr>
              <w:t xml:space="preserve">330 €</w:t>
            </w:r>
          </w:p>
        </w:tc>
        <w:tc>
          <w:tcPr>
            <w:tcMar>
              <w:top w:type="dxa" w:w="80"/>
              <w:left w:type="dxa" w:w="100"/>
              <w:bottom w:type="dxa" w:w="80"/>
              <w:right w:type="dxa" w:w="100"/>
            </w:tcMar>
            <w:vAlign w:val="center"/>
          </w:tcPr>
          <w:p>
            <w:pPr>
              <w:jc w:val="left"/>
            </w:pPr>
            <w:r>
              <w:rPr>
                <w:b w:val="false"/>
                <w:bCs w:val="false"/>
              </w:rPr>
              <w:t xml:space="preserve">18 480,00 €</w:t>
            </w:r>
          </w:p>
        </w:tc>
      </w:tr>
      <w:tr>
        <w:tc>
          <w:tcPr>
            <w:shd w:fill="D9E8D5" w:val="clear"/>
            <w:tcMar>
              <w:top w:type="dxa" w:w="80"/>
              <w:left w:type="dxa" w:w="100"/>
              <w:bottom w:type="dxa" w:w="80"/>
              <w:right w:type="dxa" w:w="100"/>
            </w:tcMar>
            <w:vAlign w:val="center"/>
          </w:tcPr>
          <w:p>
            <w:pPr>
              <w:jc w:val="left"/>
            </w:pPr>
            <w:r>
              <w:rPr>
                <w:b/>
                <w:bCs/>
              </w:rPr>
              <w:t xml:space="preserve">Total</w:t>
            </w:r>
          </w:p>
        </w:tc>
        <w:tc>
          <w:tcPr>
            <w:shd w:fill="D9E8D5" w:val="clear"/>
            <w:tcMar>
              <w:top w:type="dxa" w:w="80"/>
              <w:left w:type="dxa" w:w="100"/>
              <w:bottom w:type="dxa" w:w="80"/>
              <w:right w:type="dxa" w:w="100"/>
            </w:tcMar>
            <w:vAlign w:val="center"/>
          </w:tcPr>
          <w:p>
            <w:pPr>
              <w:jc w:val="left"/>
            </w:pPr>
            <w:r>
              <w:rPr>
                <w:b/>
                <w:bCs/>
              </w:rPr>
              <w:t xml:space="preserve">194,5 j</w:t>
            </w:r>
          </w:p>
        </w:tc>
        <w:tc>
          <w:tcPr>
            <w:shd w:fill="D9E8D5" w:val="clear"/>
            <w:tcMar>
              <w:top w:type="dxa" w:w="80"/>
              <w:left w:type="dxa" w:w="100"/>
              <w:bottom w:type="dxa" w:w="80"/>
              <w:right w:type="dxa" w:w="100"/>
            </w:tcMar>
            <w:vAlign w:val="center"/>
          </w:tcPr>
          <w:p>
            <w:pPr>
              <w:jc w:val="left"/>
            </w:pPr>
            <w:r>
              <w:rPr>
                <w:b/>
                <w:bCs/>
              </w:rPr>
              <w:t xml:space="preserve">—</w:t>
            </w:r>
          </w:p>
        </w:tc>
        <w:tc>
          <w:tcPr>
            <w:shd w:fill="D9E8D5" w:val="clear"/>
            <w:tcMar>
              <w:top w:type="dxa" w:w="80"/>
              <w:left w:type="dxa" w:w="100"/>
              <w:bottom w:type="dxa" w:w="80"/>
              <w:right w:type="dxa" w:w="100"/>
            </w:tcMar>
            <w:vAlign w:val="center"/>
          </w:tcPr>
          <w:p>
            <w:pPr>
              <w:jc w:val="left"/>
            </w:pPr>
            <w:r>
              <w:rPr>
                <w:b/>
                <w:bCs/>
              </w:rPr>
              <w:t xml:space="preserve">69 580,00 €</w:t>
            </w:r>
          </w:p>
        </w:tc>
      </w:tr>
    </w:tbl>
    <w:p>
      <w:pPr>
        <w:spacing w:after="200" w:before="80"/>
      </w:pPr>
      <w:r>
        <w:rPr>
          <w:i/>
          <w:iCs/>
          <w:color w:val="666666"/>
          <w:sz w:val="20"/>
          <w:szCs w:val="20"/>
        </w:rPr>
        <w:t xml:space="preserve">194,5 jours-hommes mobilisés sur 115 jours ouvrés de planning (23 semaines) : le taux d'occupation moyen de l'équipe (≈ 56 %) reflète le fonctionnement réel d'un projet mené en parallèle d'autres activités, avec des phases de creux (attente de validation client, délais d'approvisionnement) et des pics de charge (phase de tests d'incidents).</w:t>
      </w:r>
    </w:p>
    <w:p>
      <w:pPr>
        <w:pStyle w:val="Heading1"/>
        <w:spacing w:after="180" w:before="380"/>
      </w:pPr>
      <w:r>
        <w:rPr>
          <w:b/>
          <w:bCs/>
          <w:color w:val="1F3864"/>
        </w:rPr>
        <w:t xml:space="preserve">4. Charge et coût par phase (alignés sur le planning en annexe)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800"/>
        <w:gridCol w:w="2600"/>
      </w:tblGrid>
      <w:tr>
        <w:trPr>
          <w:tblHeader/>
        </w:trPr>
        <w:tc>
          <w:tcPr>
            <w:shd w:fill="1F3864" w:val="clear"/>
            <w:tcMar>
              <w:top w:type="dxa" w:w="80"/>
              <w:left w:type="dxa" w:w="100"/>
              <w:bottom w:type="dxa" w:w="80"/>
              <w:right w:type="dxa" w:w="100"/>
            </w:tcMar>
            <w:vAlign w:val="center"/>
          </w:tcPr>
          <w:p>
            <w:pPr>
              <w:jc w:val="left"/>
            </w:pPr>
            <w:r>
              <w:rPr>
                <w:b/>
                <w:bCs/>
                <w:color w:val="FFFFFF"/>
              </w:rPr>
              <w:t xml:space="preserve">Phase</w:t>
            </w:r>
          </w:p>
        </w:tc>
        <w:tc>
          <w:tcPr>
            <w:shd w:fill="1F3864" w:val="clear"/>
            <w:tcMar>
              <w:top w:type="dxa" w:w="80"/>
              <w:left w:type="dxa" w:w="100"/>
              <w:bottom w:type="dxa" w:w="80"/>
              <w:right w:type="dxa" w:w="100"/>
            </w:tcMar>
            <w:vAlign w:val="center"/>
          </w:tcPr>
          <w:p>
            <w:pPr>
              <w:jc w:val="left"/>
            </w:pPr>
            <w:r>
              <w:rPr>
                <w:b/>
                <w:bCs/>
                <w:color w:val="FFFFFF"/>
              </w:rPr>
              <w:t xml:space="preserve">Coût de revient RH</w:t>
            </w:r>
          </w:p>
        </w:tc>
      </w:tr>
      <w:tr>
        <w:tc>
          <w:tcPr>
            <w:tcMar>
              <w:top w:type="dxa" w:w="80"/>
              <w:left w:type="dxa" w:w="100"/>
              <w:bottom w:type="dxa" w:w="80"/>
              <w:right w:type="dxa" w:w="100"/>
            </w:tcMar>
            <w:vAlign w:val="center"/>
          </w:tcPr>
          <w:p>
            <w:pPr>
              <w:jc w:val="left"/>
            </w:pPr>
            <w:r>
              <w:rPr>
                <w:b w:val="false"/>
                <w:bCs w:val="false"/>
              </w:rPr>
              <w:t xml:space="preserve">1 — Cadrage &amp; analyse des besoins</w:t>
            </w:r>
          </w:p>
        </w:tc>
        <w:tc>
          <w:tcPr>
            <w:tcMar>
              <w:top w:type="dxa" w:w="80"/>
              <w:left w:type="dxa" w:w="100"/>
              <w:bottom w:type="dxa" w:w="80"/>
              <w:right w:type="dxa" w:w="100"/>
            </w:tcMar>
            <w:vAlign w:val="center"/>
          </w:tcPr>
          <w:p>
            <w:pPr>
              <w:jc w:val="left"/>
            </w:pPr>
            <w:r>
              <w:rPr>
                <w:b w:val="false"/>
                <w:bCs w:val="false"/>
              </w:rPr>
              <w:t xml:space="preserve">5 125,00 €</w:t>
            </w:r>
          </w:p>
        </w:tc>
      </w:tr>
      <w:tr>
        <w:tc>
          <w:tcPr>
            <w:shd w:fill="F2F2F2" w:val="clear"/>
            <w:tcMar>
              <w:top w:type="dxa" w:w="80"/>
              <w:left w:type="dxa" w:w="100"/>
              <w:bottom w:type="dxa" w:w="80"/>
              <w:right w:type="dxa" w:w="100"/>
            </w:tcMar>
            <w:vAlign w:val="center"/>
          </w:tcPr>
          <w:p>
            <w:pPr>
              <w:jc w:val="left"/>
            </w:pPr>
            <w:r>
              <w:rPr>
                <w:b w:val="false"/>
                <w:bCs w:val="false"/>
              </w:rPr>
              <w:t xml:space="preserve">2 — Conception de l'architecture</w:t>
            </w:r>
          </w:p>
        </w:tc>
        <w:tc>
          <w:tcPr>
            <w:shd w:fill="F2F2F2" w:val="clear"/>
            <w:tcMar>
              <w:top w:type="dxa" w:w="80"/>
              <w:left w:type="dxa" w:w="100"/>
              <w:bottom w:type="dxa" w:w="80"/>
              <w:right w:type="dxa" w:w="100"/>
            </w:tcMar>
            <w:vAlign w:val="center"/>
          </w:tcPr>
          <w:p>
            <w:pPr>
              <w:jc w:val="left"/>
            </w:pPr>
            <w:r>
              <w:rPr>
                <w:b w:val="false"/>
                <w:bCs w:val="false"/>
              </w:rPr>
              <w:t xml:space="preserve">8 460,00 €</w:t>
            </w:r>
          </w:p>
        </w:tc>
      </w:tr>
      <w:tr>
        <w:tc>
          <w:tcPr>
            <w:tcMar>
              <w:top w:type="dxa" w:w="80"/>
              <w:left w:type="dxa" w:w="100"/>
              <w:bottom w:type="dxa" w:w="80"/>
              <w:right w:type="dxa" w:w="100"/>
            </w:tcMar>
            <w:vAlign w:val="center"/>
          </w:tcPr>
          <w:p>
            <w:pPr>
              <w:jc w:val="left"/>
            </w:pPr>
            <w:r>
              <w:rPr>
                <w:b w:val="false"/>
                <w:bCs w:val="false"/>
              </w:rPr>
              <w:t xml:space="preserve">3 — Mise en place de l'infrastructure cloud</w:t>
            </w:r>
          </w:p>
        </w:tc>
        <w:tc>
          <w:tcPr>
            <w:tcMar>
              <w:top w:type="dxa" w:w="80"/>
              <w:left w:type="dxa" w:w="100"/>
              <w:bottom w:type="dxa" w:w="80"/>
              <w:right w:type="dxa" w:w="100"/>
            </w:tcMar>
            <w:vAlign w:val="center"/>
          </w:tcPr>
          <w:p>
            <w:pPr>
              <w:jc w:val="left"/>
            </w:pPr>
            <w:r>
              <w:rPr>
                <w:b w:val="false"/>
                <w:bCs w:val="false"/>
              </w:rPr>
              <w:t xml:space="preserve">9 075,00 €</w:t>
            </w:r>
          </w:p>
        </w:tc>
      </w:tr>
      <w:tr>
        <w:tc>
          <w:tcPr>
            <w:shd w:fill="F2F2F2" w:val="clear"/>
            <w:tcMar>
              <w:top w:type="dxa" w:w="80"/>
              <w:left w:type="dxa" w:w="100"/>
              <w:bottom w:type="dxa" w:w="80"/>
              <w:right w:type="dxa" w:w="100"/>
            </w:tcMar>
            <w:vAlign w:val="center"/>
          </w:tcPr>
          <w:p>
            <w:pPr>
              <w:jc w:val="left"/>
            </w:pPr>
            <w:r>
              <w:rPr>
                <w:b w:val="false"/>
                <w:bCs w:val="false"/>
              </w:rPr>
              <w:t xml:space="preserve">4 — Déploiement des services applicatifs</w:t>
            </w:r>
          </w:p>
        </w:tc>
        <w:tc>
          <w:tcPr>
            <w:shd w:fill="F2F2F2" w:val="clear"/>
            <w:tcMar>
              <w:top w:type="dxa" w:w="80"/>
              <w:left w:type="dxa" w:w="100"/>
              <w:bottom w:type="dxa" w:w="80"/>
              <w:right w:type="dxa" w:w="100"/>
            </w:tcMar>
            <w:vAlign w:val="center"/>
          </w:tcPr>
          <w:p>
            <w:pPr>
              <w:jc w:val="left"/>
            </w:pPr>
            <w:r>
              <w:rPr>
                <w:b w:val="false"/>
                <w:bCs w:val="false"/>
              </w:rPr>
              <w:t xml:space="preserve">10 835,00 €</w:t>
            </w:r>
          </w:p>
        </w:tc>
      </w:tr>
      <w:tr>
        <w:tc>
          <w:tcPr>
            <w:tcMar>
              <w:top w:type="dxa" w:w="80"/>
              <w:left w:type="dxa" w:w="100"/>
              <w:bottom w:type="dxa" w:w="80"/>
              <w:right w:type="dxa" w:w="100"/>
            </w:tcMar>
            <w:vAlign w:val="center"/>
          </w:tcPr>
          <w:p>
            <w:pPr>
              <w:jc w:val="left"/>
            </w:pPr>
            <w:r>
              <w:rPr>
                <w:b w:val="false"/>
                <w:bCs w:val="false"/>
              </w:rPr>
              <w:t xml:space="preserve">5 — Sécurité &amp; accès</w:t>
            </w:r>
          </w:p>
        </w:tc>
        <w:tc>
          <w:tcPr>
            <w:tcMar>
              <w:top w:type="dxa" w:w="80"/>
              <w:left w:type="dxa" w:w="100"/>
              <w:bottom w:type="dxa" w:w="80"/>
              <w:right w:type="dxa" w:w="100"/>
            </w:tcMar>
            <w:vAlign w:val="center"/>
          </w:tcPr>
          <w:p>
            <w:pPr>
              <w:jc w:val="left"/>
            </w:pPr>
            <w:r>
              <w:rPr>
                <w:b w:val="false"/>
                <w:bCs w:val="false"/>
              </w:rPr>
              <w:t xml:space="preserve">5 380,00 €</w:t>
            </w:r>
          </w:p>
        </w:tc>
      </w:tr>
      <w:tr>
        <w:tc>
          <w:tcPr>
            <w:shd w:fill="F2F2F2" w:val="clear"/>
            <w:tcMar>
              <w:top w:type="dxa" w:w="80"/>
              <w:left w:type="dxa" w:w="100"/>
              <w:bottom w:type="dxa" w:w="80"/>
              <w:right w:type="dxa" w:w="100"/>
            </w:tcMar>
            <w:vAlign w:val="center"/>
          </w:tcPr>
          <w:p>
            <w:pPr>
              <w:jc w:val="left"/>
            </w:pPr>
            <w:r>
              <w:rPr>
                <w:b w:val="false"/>
                <w:bCs w:val="false"/>
              </w:rPr>
              <w:t xml:space="preserve">6 — Supervision &amp; sauvegardes</w:t>
            </w:r>
          </w:p>
        </w:tc>
        <w:tc>
          <w:tcPr>
            <w:shd w:fill="F2F2F2" w:val="clear"/>
            <w:tcMar>
              <w:top w:type="dxa" w:w="80"/>
              <w:left w:type="dxa" w:w="100"/>
              <w:bottom w:type="dxa" w:w="80"/>
              <w:right w:type="dxa" w:w="100"/>
            </w:tcMar>
            <w:vAlign w:val="center"/>
          </w:tcPr>
          <w:p>
            <w:pPr>
              <w:jc w:val="left"/>
            </w:pPr>
            <w:r>
              <w:rPr>
                <w:b w:val="false"/>
                <w:bCs w:val="false"/>
              </w:rPr>
              <w:t xml:space="preserve">6 080,00 €</w:t>
            </w:r>
          </w:p>
        </w:tc>
      </w:tr>
      <w:tr>
        <w:tc>
          <w:tcPr>
            <w:tcMar>
              <w:top w:type="dxa" w:w="80"/>
              <w:left w:type="dxa" w:w="100"/>
              <w:bottom w:type="dxa" w:w="80"/>
              <w:right w:type="dxa" w:w="100"/>
            </w:tcMar>
            <w:vAlign w:val="center"/>
          </w:tcPr>
          <w:p>
            <w:pPr>
              <w:jc w:val="left"/>
            </w:pPr>
            <w:r>
              <w:rPr>
                <w:b w:val="false"/>
                <w:bCs w:val="false"/>
              </w:rPr>
              <w:t xml:space="preserve">7 — Tests &amp; recette PRA/DR</w:t>
            </w:r>
          </w:p>
        </w:tc>
        <w:tc>
          <w:tcPr>
            <w:tcMar>
              <w:top w:type="dxa" w:w="80"/>
              <w:left w:type="dxa" w:w="100"/>
              <w:bottom w:type="dxa" w:w="80"/>
              <w:right w:type="dxa" w:w="100"/>
            </w:tcMar>
            <w:vAlign w:val="center"/>
          </w:tcPr>
          <w:p>
            <w:pPr>
              <w:jc w:val="left"/>
            </w:pPr>
            <w:r>
              <w:rPr>
                <w:b w:val="false"/>
                <w:bCs w:val="false"/>
              </w:rPr>
              <w:t xml:space="preserve">10 390,00 €</w:t>
            </w:r>
          </w:p>
        </w:tc>
      </w:tr>
      <w:tr>
        <w:tc>
          <w:tcPr>
            <w:shd w:fill="F2F2F2" w:val="clear"/>
            <w:tcMar>
              <w:top w:type="dxa" w:w="80"/>
              <w:left w:type="dxa" w:w="100"/>
              <w:bottom w:type="dxa" w:w="80"/>
              <w:right w:type="dxa" w:w="100"/>
            </w:tcMar>
            <w:vAlign w:val="center"/>
          </w:tcPr>
          <w:p>
            <w:pPr>
              <w:jc w:val="left"/>
            </w:pPr>
            <w:r>
              <w:rPr>
                <w:b w:val="false"/>
                <w:bCs w:val="false"/>
              </w:rPr>
              <w:t xml:space="preserve">8 — Documentation &amp; transfert de compétences</w:t>
            </w:r>
          </w:p>
        </w:tc>
        <w:tc>
          <w:tcPr>
            <w:shd w:fill="F2F2F2" w:val="clear"/>
            <w:tcMar>
              <w:top w:type="dxa" w:w="80"/>
              <w:left w:type="dxa" w:w="100"/>
              <w:bottom w:type="dxa" w:w="80"/>
              <w:right w:type="dxa" w:w="100"/>
            </w:tcMar>
            <w:vAlign w:val="center"/>
          </w:tcPr>
          <w:p>
            <w:pPr>
              <w:jc w:val="left"/>
            </w:pPr>
            <w:r>
              <w:rPr>
                <w:b w:val="false"/>
                <w:bCs w:val="false"/>
              </w:rPr>
              <w:t xml:space="preserve">8 155,00 €</w:t>
            </w:r>
          </w:p>
        </w:tc>
      </w:tr>
      <w:tr>
        <w:tc>
          <w:tcPr>
            <w:tcMar>
              <w:top w:type="dxa" w:w="80"/>
              <w:left w:type="dxa" w:w="100"/>
              <w:bottom w:type="dxa" w:w="80"/>
              <w:right w:type="dxa" w:w="100"/>
            </w:tcMar>
            <w:vAlign w:val="center"/>
          </w:tcPr>
          <w:p>
            <w:pPr>
              <w:jc w:val="left"/>
            </w:pPr>
            <w:r>
              <w:rPr>
                <w:b w:val="false"/>
                <w:bCs w:val="false"/>
              </w:rPr>
              <w:t xml:space="preserve">9 — Clôture &amp; présentation finale</w:t>
            </w:r>
          </w:p>
        </w:tc>
        <w:tc>
          <w:tcPr>
            <w:tcMar>
              <w:top w:type="dxa" w:w="80"/>
              <w:left w:type="dxa" w:w="100"/>
              <w:bottom w:type="dxa" w:w="80"/>
              <w:right w:type="dxa" w:w="100"/>
            </w:tcMar>
            <w:vAlign w:val="center"/>
          </w:tcPr>
          <w:p>
            <w:pPr>
              <w:jc w:val="left"/>
            </w:pPr>
            <w:r>
              <w:rPr>
                <w:b w:val="false"/>
                <w:bCs w:val="false"/>
              </w:rPr>
              <w:t xml:space="preserve">6 080,00 €</w:t>
            </w:r>
          </w:p>
        </w:tc>
      </w:tr>
      <w:tr>
        <w:tc>
          <w:tcPr>
            <w:shd w:fill="D9E8D5" w:val="clear"/>
            <w:tcMar>
              <w:top w:type="dxa" w:w="80"/>
              <w:left w:type="dxa" w:w="100"/>
              <w:bottom w:type="dxa" w:w="80"/>
              <w:right w:type="dxa" w:w="100"/>
            </w:tcMar>
            <w:vAlign w:val="center"/>
          </w:tcPr>
          <w:p>
            <w:pPr>
              <w:jc w:val="left"/>
            </w:pPr>
            <w:r>
              <w:rPr>
                <w:b/>
                <w:bCs/>
              </w:rPr>
              <w:t xml:space="preserve">Total (= total main-d'œuvre du §3)</w:t>
            </w:r>
          </w:p>
        </w:tc>
        <w:tc>
          <w:tcPr>
            <w:shd w:fill="D9E8D5" w:val="clear"/>
            <w:tcMar>
              <w:top w:type="dxa" w:w="80"/>
              <w:left w:type="dxa" w:w="100"/>
              <w:bottom w:type="dxa" w:w="80"/>
              <w:right w:type="dxa" w:w="100"/>
            </w:tcMar>
            <w:vAlign w:val="center"/>
          </w:tcPr>
          <w:p>
            <w:pPr>
              <w:jc w:val="left"/>
            </w:pPr>
            <w:r>
              <w:rPr>
                <w:b/>
                <w:bCs/>
              </w:rPr>
              <w:t xml:space="preserve">69 580,00 €</w:t>
            </w:r>
          </w:p>
        </w:tc>
      </w:tr>
    </w:tbl>
    <w:p>
      <w:pPr>
        <w:spacing w:after="200" w:before="80"/>
      </w:pPr>
      <w:r>
        <w:rPr>
          <w:i/>
          <w:iCs/>
          <w:color w:val="666666"/>
          <w:sz w:val="20"/>
          <w:szCs w:val="20"/>
        </w:rPr>
        <w:t xml:space="preserve">Le détail tâche par tâche (dates, durées, dépendances, intervenants) est disponible dans le planning Gantt fourni en annexe (fichier vectoriel SVG) — cette vue par phase permet de facturer par jalon si le contrat le prévoit (cf. §8).</w:t>
      </w:r>
    </w:p>
    <w:p>
      <w:pPr>
        <w:pStyle w:val="Heading1"/>
        <w:spacing w:after="180" w:before="380"/>
      </w:pPr>
      <w:r>
        <w:rPr>
          <w:b/>
          <w:bCs/>
          <w:color w:val="1F3864"/>
        </w:rPr>
        <w:t xml:space="preserve">5. Coûts d'infrastructure &amp; hébergement</w:t>
      </w:r>
    </w:p>
    <w:p>
      <w:pPr>
        <w:spacing w:after="140"/>
      </w:pPr>
      <w:r>
        <w:t xml:space="preserve">Les coûts d'hébergement sont refacturés au réel (prix fournisseur), sans marge commerciale additionnelle, pour la durée du projet (6 mois, arrondi à la durée du planning + marge de bascule production).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200"/>
        <w:gridCol w:w="1400"/>
      </w:tblGrid>
      <w:tr>
        <w:trPr>
          <w:tblHeader/>
        </w:trPr>
        <w:tc>
          <w:tcPr>
            <w:shd w:fill="1F3864" w:val="clear"/>
            <w:tcMar>
              <w:top w:type="dxa" w:w="80"/>
              <w:left w:type="dxa" w:w="100"/>
              <w:bottom w:type="dxa" w:w="80"/>
              <w:right w:type="dxa" w:w="100"/>
            </w:tcMar>
            <w:vAlign w:val="center"/>
          </w:tcPr>
          <w:p>
            <w:pPr>
              <w:jc w:val="left"/>
            </w:pPr>
            <w:r>
              <w:rPr>
                <w:b/>
                <w:bCs/>
                <w:color w:val="FFFFFF"/>
              </w:rPr>
              <w:t xml:space="preserve">Poste</w:t>
            </w:r>
          </w:p>
        </w:tc>
        <w:tc>
          <w:tcPr>
            <w:shd w:fill="1F3864" w:val="clear"/>
            <w:tcMar>
              <w:top w:type="dxa" w:w="80"/>
              <w:left w:type="dxa" w:w="100"/>
              <w:bottom w:type="dxa" w:w="80"/>
              <w:right w:type="dxa" w:w="100"/>
            </w:tcMar>
            <w:vAlign w:val="center"/>
          </w:tcPr>
          <w:p>
            <w:pPr>
              <w:jc w:val="left"/>
            </w:pPr>
            <w:r>
              <w:rPr>
                <w:b/>
                <w:bCs/>
                <w:color w:val="FFFFFF"/>
              </w:rPr>
              <w:t xml:space="preserve">Fournisseur</w:t>
            </w:r>
          </w:p>
        </w:tc>
        <w:tc>
          <w:tcPr>
            <w:shd w:fill="1F3864" w:val="clear"/>
            <w:tcMar>
              <w:top w:type="dxa" w:w="80"/>
              <w:left w:type="dxa" w:w="100"/>
              <w:bottom w:type="dxa" w:w="80"/>
              <w:right w:type="dxa" w:w="100"/>
            </w:tcMar>
            <w:vAlign w:val="center"/>
          </w:tcPr>
          <w:p>
            <w:pPr>
              <w:jc w:val="left"/>
            </w:pPr>
            <w:r>
              <w:rPr>
                <w:b/>
                <w:bCs/>
                <w:color w:val="FFFFFF"/>
              </w:rPr>
              <w:t xml:space="preserve">Prix unitaire HT</w:t>
            </w:r>
          </w:p>
        </w:tc>
        <w:tc>
          <w:tcPr>
            <w:shd w:fill="1F3864" w:val="clear"/>
            <w:tcMar>
              <w:top w:type="dxa" w:w="80"/>
              <w:left w:type="dxa" w:w="100"/>
              <w:bottom w:type="dxa" w:w="80"/>
              <w:right w:type="dxa" w:w="100"/>
            </w:tcMar>
            <w:vAlign w:val="center"/>
          </w:tcPr>
          <w:p>
            <w:pPr>
              <w:jc w:val="left"/>
            </w:pPr>
            <w:r>
              <w:rPr>
                <w:b/>
                <w:bCs/>
                <w:color w:val="FFFFFF"/>
              </w:rPr>
              <w:t xml:space="preserve">Durée</w:t>
            </w:r>
          </w:p>
        </w:tc>
        <w:tc>
          <w:tcPr>
            <w:shd w:fill="1F3864" w:val="clear"/>
            <w:tcMar>
              <w:top w:type="dxa" w:w="80"/>
              <w:left w:type="dxa" w:w="100"/>
              <w:bottom w:type="dxa" w:w="80"/>
              <w:right w:type="dxa" w:w="100"/>
            </w:tcMar>
            <w:vAlign w:val="center"/>
          </w:tcPr>
          <w:p>
            <w:pPr>
              <w:jc w:val="left"/>
            </w:pPr>
            <w:r>
              <w:rPr>
                <w:b/>
                <w:bCs/>
                <w:color w:val="FFFFFF"/>
              </w:rPr>
              <w:t xml:space="preserve">Coût total HT</w:t>
            </w:r>
          </w:p>
        </w:tc>
      </w:tr>
      <w:tr>
        <w:tc>
          <w:tcPr>
            <w:tcMar>
              <w:top w:type="dxa" w:w="80"/>
              <w:left w:type="dxa" w:w="100"/>
              <w:bottom w:type="dxa" w:w="80"/>
              <w:right w:type="dxa" w:w="100"/>
            </w:tcMar>
            <w:vAlign w:val="center"/>
          </w:tcPr>
          <w:p>
            <w:pPr>
              <w:jc w:val="left"/>
            </w:pPr>
            <w:r>
              <w:rPr>
                <w:b w:val="false"/>
                <w:bCs w:val="false"/>
              </w:rPr>
              <w:t xml:space="preserve">2× serveur dédié SYS-1 (Xeon-E 2136, 32 Go, 2× NVMe)</w:t>
            </w:r>
          </w:p>
        </w:tc>
        <w:tc>
          <w:tcPr>
            <w:tcMar>
              <w:top w:type="dxa" w:w="80"/>
              <w:left w:type="dxa" w:w="100"/>
              <w:bottom w:type="dxa" w:w="80"/>
              <w:right w:type="dxa" w:w="100"/>
            </w:tcMar>
            <w:vAlign w:val="center"/>
          </w:tcPr>
          <w:p>
            <w:pPr>
              <w:jc w:val="left"/>
            </w:pPr>
            <w:r>
              <w:rPr>
                <w:b w:val="false"/>
                <w:bCs w:val="false"/>
              </w:rPr>
              <w:t xml:space="preserve">OVHcloud</w:t>
            </w:r>
          </w:p>
        </w:tc>
        <w:tc>
          <w:tcPr>
            <w:tcMar>
              <w:top w:type="dxa" w:w="80"/>
              <w:left w:type="dxa" w:w="100"/>
              <w:bottom w:type="dxa" w:w="80"/>
              <w:right w:type="dxa" w:w="100"/>
            </w:tcMar>
            <w:vAlign w:val="center"/>
          </w:tcPr>
          <w:p>
            <w:pPr>
              <w:jc w:val="left"/>
            </w:pPr>
            <w:r>
              <w:rPr>
                <w:b w:val="false"/>
                <w:bCs w:val="false"/>
              </w:rPr>
              <w:t xml:space="preserve">29,99 €/mois/serveur</w:t>
            </w:r>
          </w:p>
        </w:tc>
        <w:tc>
          <w:tcPr>
            <w:tcMar>
              <w:top w:type="dxa" w:w="80"/>
              <w:left w:type="dxa" w:w="100"/>
              <w:bottom w:type="dxa" w:w="80"/>
              <w:right w:type="dxa" w:w="100"/>
            </w:tcMar>
            <w:vAlign w:val="center"/>
          </w:tcPr>
          <w:p>
            <w:pPr>
              <w:jc w:val="left"/>
            </w:pPr>
            <w:r>
              <w:rPr>
                <w:b w:val="false"/>
                <w:bCs w:val="false"/>
              </w:rPr>
              <w:t xml:space="preserve">6 mois</w:t>
            </w:r>
          </w:p>
        </w:tc>
        <w:tc>
          <w:tcPr>
            <w:tcMar>
              <w:top w:type="dxa" w:w="80"/>
              <w:left w:type="dxa" w:w="100"/>
              <w:bottom w:type="dxa" w:w="80"/>
              <w:right w:type="dxa" w:w="100"/>
            </w:tcMar>
            <w:vAlign w:val="center"/>
          </w:tcPr>
          <w:p>
            <w:pPr>
              <w:jc w:val="left"/>
            </w:pPr>
            <w:r>
              <w:rPr>
                <w:b w:val="false"/>
                <w:bCs w:val="false"/>
              </w:rPr>
              <w:t xml:space="preserve">359,88 €</w:t>
            </w:r>
          </w:p>
        </w:tc>
      </w:tr>
      <w:tr>
        <w:tc>
          <w:tcPr>
            <w:shd w:fill="F2F2F2" w:val="clear"/>
            <w:tcMar>
              <w:top w:type="dxa" w:w="80"/>
              <w:left w:type="dxa" w:w="100"/>
              <w:bottom w:type="dxa" w:w="80"/>
              <w:right w:type="dxa" w:w="100"/>
            </w:tcMar>
            <w:vAlign w:val="center"/>
          </w:tcPr>
          <w:p>
            <w:pPr>
              <w:jc w:val="left"/>
            </w:pPr>
            <w:r>
              <w:rPr>
                <w:b w:val="false"/>
                <w:bCs w:val="false"/>
              </w:rPr>
              <w:t xml:space="preserve">Additional IP (IPv4 supplémentaire, WAN public)</w:t>
            </w:r>
          </w:p>
        </w:tc>
        <w:tc>
          <w:tcPr>
            <w:shd w:fill="F2F2F2" w:val="clear"/>
            <w:tcMar>
              <w:top w:type="dxa" w:w="80"/>
              <w:left w:type="dxa" w:w="100"/>
              <w:bottom w:type="dxa" w:w="80"/>
              <w:right w:type="dxa" w:w="100"/>
            </w:tcMar>
            <w:vAlign w:val="center"/>
          </w:tcPr>
          <w:p>
            <w:pPr>
              <w:jc w:val="left"/>
            </w:pPr>
            <w:r>
              <w:rPr>
                <w:b w:val="false"/>
                <w:bCs w:val="false"/>
              </w:rPr>
              <w:t xml:space="preserve">OVHcloud</w:t>
            </w:r>
          </w:p>
        </w:tc>
        <w:tc>
          <w:tcPr>
            <w:shd w:fill="F2F2F2" w:val="clear"/>
            <w:tcMar>
              <w:top w:type="dxa" w:w="80"/>
              <w:left w:type="dxa" w:w="100"/>
              <w:bottom w:type="dxa" w:w="80"/>
              <w:right w:type="dxa" w:w="100"/>
            </w:tcMar>
            <w:vAlign w:val="center"/>
          </w:tcPr>
          <w:p>
            <w:pPr>
              <w:jc w:val="left"/>
            </w:pPr>
            <w:r>
              <w:rPr>
                <w:b w:val="false"/>
                <w:bCs w:val="false"/>
              </w:rPr>
              <w:t xml:space="preserve">1,99 €/mois</w:t>
            </w:r>
          </w:p>
        </w:tc>
        <w:tc>
          <w:tcPr>
            <w:shd w:fill="F2F2F2" w:val="clear"/>
            <w:tcMar>
              <w:top w:type="dxa" w:w="80"/>
              <w:left w:type="dxa" w:w="100"/>
              <w:bottom w:type="dxa" w:w="80"/>
              <w:right w:type="dxa" w:w="100"/>
            </w:tcMar>
            <w:vAlign w:val="center"/>
          </w:tcPr>
          <w:p>
            <w:pPr>
              <w:jc w:val="left"/>
            </w:pPr>
            <w:r>
              <w:rPr>
                <w:b w:val="false"/>
                <w:bCs w:val="false"/>
              </w:rPr>
              <w:t xml:space="preserve">6 mois</w:t>
            </w:r>
          </w:p>
        </w:tc>
        <w:tc>
          <w:tcPr>
            <w:shd w:fill="F2F2F2" w:val="clear"/>
            <w:tcMar>
              <w:top w:type="dxa" w:w="80"/>
              <w:left w:type="dxa" w:w="100"/>
              <w:bottom w:type="dxa" w:w="80"/>
              <w:right w:type="dxa" w:w="100"/>
            </w:tcMar>
            <w:vAlign w:val="center"/>
          </w:tcPr>
          <w:p>
            <w:pPr>
              <w:jc w:val="left"/>
            </w:pPr>
            <w:r>
              <w:rPr>
                <w:b w:val="false"/>
                <w:bCs w:val="false"/>
              </w:rPr>
              <w:t xml:space="preserve">11,94 €</w:t>
            </w:r>
          </w:p>
        </w:tc>
      </w:tr>
      <w:tr>
        <w:tc>
          <w:tcPr>
            <w:tcMar>
              <w:top w:type="dxa" w:w="80"/>
              <w:left w:type="dxa" w:w="100"/>
              <w:bottom w:type="dxa" w:w="80"/>
              <w:right w:type="dxa" w:w="100"/>
            </w:tcMar>
            <w:vAlign w:val="center"/>
          </w:tcPr>
          <w:p>
            <w:pPr>
              <w:jc w:val="left"/>
            </w:pPr>
            <w:r>
              <w:rPr>
                <w:b w:val="false"/>
                <w:bCs w:val="false"/>
              </w:rPr>
              <w:t xml:space="preserve">vRack (réseau privé inter-serveurs)</w:t>
            </w:r>
          </w:p>
        </w:tc>
        <w:tc>
          <w:tcPr>
            <w:tcMar>
              <w:top w:type="dxa" w:w="80"/>
              <w:left w:type="dxa" w:w="100"/>
              <w:bottom w:type="dxa" w:w="80"/>
              <w:right w:type="dxa" w:w="100"/>
            </w:tcMar>
            <w:vAlign w:val="center"/>
          </w:tcPr>
          <w:p>
            <w:pPr>
              <w:jc w:val="left"/>
            </w:pPr>
            <w:r>
              <w:rPr>
                <w:b w:val="false"/>
                <w:bCs w:val="false"/>
              </w:rPr>
              <w:t xml:space="preserve">OVHcloud</w:t>
            </w:r>
          </w:p>
        </w:tc>
        <w:tc>
          <w:tcPr>
            <w:tcMar>
              <w:top w:type="dxa" w:w="80"/>
              <w:left w:type="dxa" w:w="100"/>
              <w:bottom w:type="dxa" w:w="80"/>
              <w:right w:type="dxa" w:w="100"/>
            </w:tcMar>
            <w:vAlign w:val="center"/>
          </w:tcPr>
          <w:p>
            <w:pPr>
              <w:jc w:val="left"/>
            </w:pPr>
            <w:r>
              <w:rPr>
                <w:b w:val="false"/>
                <w:bCs w:val="false"/>
              </w:rPr>
              <w:t xml:space="preserve">inclus</w:t>
            </w:r>
          </w:p>
        </w:tc>
        <w:tc>
          <w:tcPr>
            <w:tcMar>
              <w:top w:type="dxa" w:w="80"/>
              <w:left w:type="dxa" w:w="100"/>
              <w:bottom w:type="dxa" w:w="80"/>
              <w:right w:type="dxa" w:w="100"/>
            </w:tcMar>
            <w:vAlign w:val="center"/>
          </w:tcPr>
          <w:p>
            <w:pPr>
              <w:jc w:val="left"/>
            </w:pPr>
            <w:r>
              <w:rPr>
                <w:b w:val="false"/>
                <w:bCs w:val="false"/>
              </w:rPr>
              <w:t xml:space="preserve">6 mois</w:t>
            </w:r>
          </w:p>
        </w:tc>
        <w:tc>
          <w:tcPr>
            <w:tcMar>
              <w:top w:type="dxa" w:w="80"/>
              <w:left w:type="dxa" w:w="100"/>
              <w:bottom w:type="dxa" w:w="80"/>
              <w:right w:type="dxa" w:w="100"/>
            </w:tcMar>
            <w:vAlign w:val="center"/>
          </w:tcPr>
          <w:p>
            <w:pPr>
              <w:jc w:val="left"/>
            </w:pPr>
            <w:r>
              <w:rPr>
                <w:b w:val="false"/>
                <w:bCs w:val="false"/>
              </w:rPr>
              <w:t xml:space="preserve">0,00 €</w:t>
            </w:r>
          </w:p>
        </w:tc>
      </w:tr>
      <w:tr>
        <w:tc>
          <w:tcPr>
            <w:shd w:fill="F2F2F2" w:val="clear"/>
            <w:tcMar>
              <w:top w:type="dxa" w:w="80"/>
              <w:left w:type="dxa" w:w="100"/>
              <w:bottom w:type="dxa" w:w="80"/>
              <w:right w:type="dxa" w:w="100"/>
            </w:tcMar>
            <w:vAlign w:val="center"/>
          </w:tcPr>
          <w:p>
            <w:pPr>
              <w:jc w:val="left"/>
            </w:pPr>
            <w:r>
              <w:rPr>
                <w:b w:val="false"/>
                <w:bCs w:val="false"/>
              </w:rPr>
              <w:t xml:space="preserve">Licences logicielles (Proxmox VE/PBS, OPNsense, GLPI, MariaDB, Zabbix, BIND9, Postfix, Nginx)</w:t>
            </w:r>
          </w:p>
        </w:tc>
        <w:tc>
          <w:tcPr>
            <w:shd w:fill="F2F2F2" w:val="clear"/>
            <w:tcMar>
              <w:top w:type="dxa" w:w="80"/>
              <w:left w:type="dxa" w:w="100"/>
              <w:bottom w:type="dxa" w:w="80"/>
              <w:right w:type="dxa" w:w="100"/>
            </w:tcMar>
            <w:vAlign w:val="center"/>
          </w:tcPr>
          <w:p>
            <w:pPr>
              <w:jc w:val="left"/>
            </w:pPr>
            <w:r>
              <w:rPr>
                <w:b w:val="false"/>
                <w:bCs w:val="false"/>
              </w:rPr>
              <w:t xml:space="preserve">Open source</w:t>
            </w:r>
          </w:p>
        </w:tc>
        <w:tc>
          <w:tcPr>
            <w:shd w:fill="F2F2F2" w:val="clear"/>
            <w:tcMar>
              <w:top w:type="dxa" w:w="80"/>
              <w:left w:type="dxa" w:w="100"/>
              <w:bottom w:type="dxa" w:w="80"/>
              <w:right w:type="dxa" w:w="100"/>
            </w:tcMar>
            <w:vAlign w:val="center"/>
          </w:tcPr>
          <w:p>
            <w:pPr>
              <w:jc w:val="left"/>
            </w:pPr>
            <w:r>
              <w:rPr>
                <w:b w:val="false"/>
                <w:bCs w:val="false"/>
              </w:rPr>
              <w:t xml:space="preserve">0,00 €</w:t>
            </w:r>
          </w:p>
        </w:tc>
        <w:tc>
          <w:tcPr>
            <w:shd w:fill="F2F2F2" w:val="clear"/>
            <w:tcMar>
              <w:top w:type="dxa" w:w="80"/>
              <w:left w:type="dxa" w:w="100"/>
              <w:bottom w:type="dxa" w:w="80"/>
              <w:right w:type="dxa" w:w="100"/>
            </w:tcMar>
            <w:vAlign w:val="center"/>
          </w:tcPr>
          <w:p>
            <w:pPr>
              <w:jc w:val="left"/>
            </w:pPr>
            <w:r>
              <w:rPr>
                <w:b w:val="false"/>
                <w:bCs w:val="false"/>
              </w:rPr>
              <w:t xml:space="preserve">—</w:t>
            </w:r>
          </w:p>
        </w:tc>
        <w:tc>
          <w:tcPr>
            <w:shd w:fill="F2F2F2" w:val="clear"/>
            <w:tcMar>
              <w:top w:type="dxa" w:w="80"/>
              <w:left w:type="dxa" w:w="100"/>
              <w:bottom w:type="dxa" w:w="80"/>
              <w:right w:type="dxa" w:w="100"/>
            </w:tcMar>
            <w:vAlign w:val="center"/>
          </w:tcPr>
          <w:p>
            <w:pPr>
              <w:jc w:val="left"/>
            </w:pPr>
            <w:r>
              <w:rPr>
                <w:b w:val="false"/>
                <w:bCs w:val="false"/>
              </w:rPr>
              <w:t xml:space="preserve">0,00 €</w:t>
            </w:r>
          </w:p>
        </w:tc>
      </w:tr>
      <w:tr>
        <w:tc>
          <w:tcPr>
            <w:shd w:fill="D9E8D5" w:val="clear"/>
            <w:tcMar>
              <w:top w:type="dxa" w:w="80"/>
              <w:left w:type="dxa" w:w="100"/>
              <w:bottom w:type="dxa" w:w="80"/>
              <w:right w:type="dxa" w:w="100"/>
            </w:tcMar>
            <w:vAlign w:val="center"/>
          </w:tcPr>
          <w:p>
            <w:pPr>
              <w:jc w:val="left"/>
            </w:pPr>
            <w:r>
              <w:rPr>
                <w:b/>
                <w:bCs/>
              </w:rPr>
              <w:t xml:space="preserve">Total infrastructure &amp; hébergement HT</w:t>
            </w:r>
          </w:p>
        </w:tc>
        <w:tc>
          <w:tcPr>
            <w:shd w:fill="D9E8D5" w:val="clear"/>
            <w:tcMar>
              <w:top w:type="dxa" w:w="80"/>
              <w:left w:type="dxa" w:w="100"/>
              <w:bottom w:type="dxa" w:w="80"/>
              <w:right w:type="dxa" w:w="100"/>
            </w:tcMar>
            <w:vAlign w:val="center"/>
          </w:tcPr>
          <w:p>
            <w:pPr>
              <w:jc w:val="left"/>
            </w:pPr>
            <w:r>
              <w:rPr>
                <w:b/>
                <w:bCs/>
              </w:rPr>
              <w:t xml:space="preserve"/>
            </w:r>
          </w:p>
        </w:tc>
        <w:tc>
          <w:tcPr>
            <w:shd w:fill="D9E8D5" w:val="clear"/>
            <w:tcMar>
              <w:top w:type="dxa" w:w="80"/>
              <w:left w:type="dxa" w:w="100"/>
              <w:bottom w:type="dxa" w:w="80"/>
              <w:right w:type="dxa" w:w="100"/>
            </w:tcMar>
            <w:vAlign w:val="center"/>
          </w:tcPr>
          <w:p>
            <w:pPr>
              <w:jc w:val="left"/>
            </w:pPr>
            <w:r>
              <w:rPr>
                <w:b/>
                <w:bCs/>
              </w:rPr>
              <w:t xml:space="preserve"/>
            </w:r>
          </w:p>
        </w:tc>
        <w:tc>
          <w:tcPr>
            <w:shd w:fill="D9E8D5" w:val="clear"/>
            <w:tcMar>
              <w:top w:type="dxa" w:w="80"/>
              <w:left w:type="dxa" w:w="100"/>
              <w:bottom w:type="dxa" w:w="80"/>
              <w:right w:type="dxa" w:w="100"/>
            </w:tcMar>
            <w:vAlign w:val="center"/>
          </w:tcPr>
          <w:p>
            <w:pPr>
              <w:jc w:val="left"/>
            </w:pPr>
            <w:r>
              <w:rPr>
                <w:b/>
                <w:bCs/>
              </w:rPr>
              <w:t xml:space="preserve"/>
            </w:r>
          </w:p>
        </w:tc>
        <w:tc>
          <w:tcPr>
            <w:shd w:fill="D9E8D5" w:val="clear"/>
            <w:tcMar>
              <w:top w:type="dxa" w:w="80"/>
              <w:left w:type="dxa" w:w="100"/>
              <w:bottom w:type="dxa" w:w="80"/>
              <w:right w:type="dxa" w:w="100"/>
            </w:tcMar>
            <w:vAlign w:val="center"/>
          </w:tcPr>
          <w:p>
            <w:pPr>
              <w:jc w:val="left"/>
            </w:pPr>
            <w:r>
              <w:rPr>
                <w:b/>
                <w:bCs/>
              </w:rPr>
              <w:t xml:space="preserve">371,82 €</w:t>
            </w:r>
          </w:p>
        </w:tc>
      </w:tr>
    </w:tbl>
    <w:p>
      <w:pPr>
        <w:spacing w:after="200" w:before="80"/>
      </w:pPr>
      <w:r>
        <w:rPr>
          <w:i/>
          <w:iCs/>
          <w:color w:val="666666"/>
          <w:sz w:val="20"/>
          <w:szCs w:val="20"/>
        </w:rPr>
        <w:t xml:space="preserve">Tarif de l'Additional IP OVHcloud (1,99 € HT/mois, soit 2,39 € TTC) : nouveau tarif entré en vigueur en avril 2026 (augmentation communiquée par OVHcloud, ancien tarif ≈ 1,50 € HT/mois). Le montant retenu ici est donc le tarif catalogue en vigueur ; à recaler sur la facture réelle si le compte a été ouvert avant cette date.</w:t>
      </w:r>
    </w:p>
    <w:p>
      <w:pPr>
        <w:pStyle w:val="Heading1"/>
        <w:spacing w:after="180" w:before="380"/>
      </w:pPr>
      <w:r>
        <w:rPr>
          <w:b/>
          <w:bCs/>
          <w:color w:val="1F3864"/>
        </w:rPr>
        <w:t xml:space="preserve">6. Construction du prix de la prestation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2600"/>
      </w:tblGrid>
      <w:tr>
        <w:trPr>
          <w:tblHeader/>
        </w:trPr>
        <w:tc>
          <w:tcPr>
            <w:shd w:fill="1F3864" w:val="clear"/>
            <w:tcMar>
              <w:top w:type="dxa" w:w="80"/>
              <w:left w:type="dxa" w:w="100"/>
              <w:bottom w:type="dxa" w:w="80"/>
              <w:right w:type="dxa" w:w="100"/>
            </w:tcMar>
            <w:vAlign w:val="center"/>
          </w:tcPr>
          <w:p>
            <w:pPr>
              <w:jc w:val="left"/>
            </w:pPr>
            <w:r>
              <w:rPr>
                <w:b/>
                <w:bCs/>
                <w:color w:val="FFFFFF"/>
              </w:rPr>
              <w:t xml:space="preserve">Poste</w:t>
            </w:r>
          </w:p>
        </w:tc>
        <w:tc>
          <w:tcPr>
            <w:shd w:fill="1F3864" w:val="clear"/>
            <w:tcMar>
              <w:top w:type="dxa" w:w="80"/>
              <w:left w:type="dxa" w:w="100"/>
              <w:bottom w:type="dxa" w:w="80"/>
              <w:right w:type="dxa" w:w="100"/>
            </w:tcMar>
            <w:vAlign w:val="center"/>
          </w:tcPr>
          <w:p>
            <w:pPr>
              <w:jc w:val="left"/>
            </w:pPr>
            <w:r>
              <w:rPr>
                <w:b/>
                <w:bCs/>
                <w:color w:val="FFFFFF"/>
              </w:rPr>
              <w:t xml:space="preserve">Taux</w:t>
            </w:r>
          </w:p>
        </w:tc>
        <w:tc>
          <w:tcPr>
            <w:shd w:fill="1F3864" w:val="clear"/>
            <w:tcMar>
              <w:top w:type="dxa" w:w="80"/>
              <w:left w:type="dxa" w:w="100"/>
              <w:bottom w:type="dxa" w:w="80"/>
              <w:right w:type="dxa" w:w="100"/>
            </w:tcMar>
            <w:vAlign w:val="center"/>
          </w:tcPr>
          <w:p>
            <w:pPr>
              <w:jc w:val="left"/>
            </w:pPr>
            <w:r>
              <w:rPr>
                <w:b/>
                <w:bCs/>
                <w:color w:val="FFFFFF"/>
              </w:rPr>
              <w:t xml:space="preserve">Montant</w:t>
            </w:r>
          </w:p>
        </w:tc>
      </w:tr>
      <w:tr>
        <w:tc>
          <w:tcPr>
            <w:tcMar>
              <w:top w:type="dxa" w:w="80"/>
              <w:left w:type="dxa" w:w="100"/>
              <w:bottom w:type="dxa" w:w="80"/>
              <w:right w:type="dxa" w:w="100"/>
            </w:tcMar>
            <w:vAlign w:val="center"/>
          </w:tcPr>
          <w:p>
            <w:pPr>
              <w:jc w:val="left"/>
            </w:pPr>
            <w:r>
              <w:rPr>
                <w:b w:val="false"/>
                <w:bCs w:val="false"/>
              </w:rPr>
              <w:t xml:space="preserve">Coût de revient RH (§3)</w:t>
            </w:r>
          </w:p>
        </w:tc>
        <w:tc>
          <w:tcPr>
            <w:tcMar>
              <w:top w:type="dxa" w:w="80"/>
              <w:left w:type="dxa" w:w="100"/>
              <w:bottom w:type="dxa" w:w="80"/>
              <w:right w:type="dxa" w:w="100"/>
            </w:tcMar>
            <w:vAlign w:val="center"/>
          </w:tcPr>
          <w:p>
            <w:pPr>
              <w:jc w:val="left"/>
            </w:pPr>
            <w:r>
              <w:rPr>
                <w:b w:val="false"/>
                <w:bCs w:val="false"/>
              </w:rPr>
              <w:t xml:space="preserve">—</w:t>
            </w:r>
          </w:p>
        </w:tc>
        <w:tc>
          <w:tcPr>
            <w:tcMar>
              <w:top w:type="dxa" w:w="80"/>
              <w:left w:type="dxa" w:w="100"/>
              <w:bottom w:type="dxa" w:w="80"/>
              <w:right w:type="dxa" w:w="100"/>
            </w:tcMar>
            <w:vAlign w:val="center"/>
          </w:tcPr>
          <w:p>
            <w:pPr>
              <w:jc w:val="left"/>
            </w:pPr>
            <w:r>
              <w:rPr>
                <w:b w:val="false"/>
                <w:bCs w:val="false"/>
              </w:rPr>
              <w:t xml:space="preserve">69 580,00 €</w:t>
            </w:r>
          </w:p>
        </w:tc>
      </w:tr>
      <w:tr>
        <w:tc>
          <w:tcPr>
            <w:shd w:fill="F2F2F2" w:val="clear"/>
            <w:tcMar>
              <w:top w:type="dxa" w:w="80"/>
              <w:left w:type="dxa" w:w="100"/>
              <w:bottom w:type="dxa" w:w="80"/>
              <w:right w:type="dxa" w:w="100"/>
            </w:tcMar>
            <w:vAlign w:val="center"/>
          </w:tcPr>
          <w:p>
            <w:pPr>
              <w:jc w:val="left"/>
            </w:pPr>
            <w:r>
              <w:rPr>
                <w:b w:val="false"/>
                <w:bCs w:val="false"/>
              </w:rPr>
              <w:t xml:space="preserve">Frais de structure (locaux, outils, assurance RC pro, administratif)</w:t>
            </w:r>
          </w:p>
        </w:tc>
        <w:tc>
          <w:tcPr>
            <w:shd w:fill="F2F2F2" w:val="clear"/>
            <w:tcMar>
              <w:top w:type="dxa" w:w="80"/>
              <w:left w:type="dxa" w:w="100"/>
              <w:bottom w:type="dxa" w:w="80"/>
              <w:right w:type="dxa" w:w="100"/>
            </w:tcMar>
            <w:vAlign w:val="center"/>
          </w:tcPr>
          <w:p>
            <w:pPr>
              <w:jc w:val="left"/>
            </w:pPr>
            <w:r>
              <w:rPr>
                <w:b w:val="false"/>
                <w:bCs w:val="false"/>
              </w:rPr>
              <w:t xml:space="preserve">8 %</w:t>
            </w:r>
          </w:p>
        </w:tc>
        <w:tc>
          <w:tcPr>
            <w:shd w:fill="F2F2F2" w:val="clear"/>
            <w:tcMar>
              <w:top w:type="dxa" w:w="80"/>
              <w:left w:type="dxa" w:w="100"/>
              <w:bottom w:type="dxa" w:w="80"/>
              <w:right w:type="dxa" w:w="100"/>
            </w:tcMar>
            <w:vAlign w:val="center"/>
          </w:tcPr>
          <w:p>
            <w:pPr>
              <w:jc w:val="left"/>
            </w:pPr>
            <w:r>
              <w:rPr>
                <w:b w:val="false"/>
                <w:bCs w:val="false"/>
              </w:rPr>
              <w:t xml:space="preserve">5 566,40 €</w:t>
            </w:r>
          </w:p>
        </w:tc>
      </w:tr>
      <w:tr>
        <w:tc>
          <w:tcPr>
            <w:tcMar>
              <w:top w:type="dxa" w:w="80"/>
              <w:left w:type="dxa" w:w="100"/>
              <w:bottom w:type="dxa" w:w="80"/>
              <w:right w:type="dxa" w:w="100"/>
            </w:tcMar>
            <w:vAlign w:val="center"/>
          </w:tcPr>
          <w:p>
            <w:pPr>
              <w:jc w:val="left"/>
            </w:pPr>
            <w:r>
              <w:rPr>
                <w:b w:val="false"/>
                <w:bCs w:val="false"/>
              </w:rPr>
              <w:t xml:space="preserve">Provision pour aléas (retards, itérations de recette, imprévus techniques)</w:t>
            </w:r>
          </w:p>
        </w:tc>
        <w:tc>
          <w:tcPr>
            <w:tcMar>
              <w:top w:type="dxa" w:w="80"/>
              <w:left w:type="dxa" w:w="100"/>
              <w:bottom w:type="dxa" w:w="80"/>
              <w:right w:type="dxa" w:w="100"/>
            </w:tcMar>
            <w:vAlign w:val="center"/>
          </w:tcPr>
          <w:p>
            <w:pPr>
              <w:jc w:val="left"/>
            </w:pPr>
            <w:r>
              <w:rPr>
                <w:b w:val="false"/>
                <w:bCs w:val="false"/>
              </w:rPr>
              <w:t xml:space="preserve">6 %</w:t>
            </w:r>
          </w:p>
        </w:tc>
        <w:tc>
          <w:tcPr>
            <w:tcMar>
              <w:top w:type="dxa" w:w="80"/>
              <w:left w:type="dxa" w:w="100"/>
              <w:bottom w:type="dxa" w:w="80"/>
              <w:right w:type="dxa" w:w="100"/>
            </w:tcMar>
            <w:vAlign w:val="center"/>
          </w:tcPr>
          <w:p>
            <w:pPr>
              <w:jc w:val="left"/>
            </w:pPr>
            <w:r>
              <w:rPr>
                <w:b w:val="false"/>
                <w:bCs w:val="false"/>
              </w:rPr>
              <w:t xml:space="preserve">4 174,80 €</w:t>
            </w:r>
          </w:p>
        </w:tc>
      </w:tr>
      <w:tr>
        <w:tc>
          <w:tcPr>
            <w:shd w:fill="F2F2F2" w:val="clear"/>
            <w:tcMar>
              <w:top w:type="dxa" w:w="80"/>
              <w:left w:type="dxa" w:w="100"/>
              <w:bottom w:type="dxa" w:w="80"/>
              <w:right w:type="dxa" w:w="100"/>
            </w:tcMar>
            <w:vAlign w:val="center"/>
          </w:tcPr>
          <w:p>
            <w:pPr>
              <w:jc w:val="left"/>
            </w:pPr>
            <w:r>
              <w:rPr>
                <w:b w:val="false"/>
                <w:bCs w:val="false"/>
              </w:rPr>
              <w:t xml:space="preserve">Sous-total</w:t>
            </w:r>
          </w:p>
        </w:tc>
        <w:tc>
          <w:tcPr>
            <w:shd w:fill="F2F2F2" w:val="clear"/>
            <w:tcMar>
              <w:top w:type="dxa" w:w="80"/>
              <w:left w:type="dxa" w:w="100"/>
              <w:bottom w:type="dxa" w:w="80"/>
              <w:right w:type="dxa" w:w="100"/>
            </w:tcMar>
            <w:vAlign w:val="center"/>
          </w:tcPr>
          <w:p>
            <w:pPr>
              <w:jc w:val="left"/>
            </w:pPr>
            <w:r>
              <w:rPr>
                <w:b w:val="false"/>
                <w:bCs w:val="false"/>
              </w:rPr>
              <w:t xml:space="preserve">—</w:t>
            </w:r>
          </w:p>
        </w:tc>
        <w:tc>
          <w:tcPr>
            <w:shd w:fill="F2F2F2" w:val="clear"/>
            <w:tcMar>
              <w:top w:type="dxa" w:w="80"/>
              <w:left w:type="dxa" w:w="100"/>
              <w:bottom w:type="dxa" w:w="80"/>
              <w:right w:type="dxa" w:w="100"/>
            </w:tcMar>
            <w:vAlign w:val="center"/>
          </w:tcPr>
          <w:p>
            <w:pPr>
              <w:jc w:val="left"/>
            </w:pPr>
            <w:r>
              <w:rPr>
                <w:b w:val="false"/>
                <w:bCs w:val="false"/>
              </w:rPr>
              <w:t xml:space="preserve">79 321,20 €</w:t>
            </w:r>
          </w:p>
        </w:tc>
      </w:tr>
      <w:tr>
        <w:tc>
          <w:tcPr>
            <w:tcMar>
              <w:top w:type="dxa" w:w="80"/>
              <w:left w:type="dxa" w:w="100"/>
              <w:bottom w:type="dxa" w:w="80"/>
              <w:right w:type="dxa" w:w="100"/>
            </w:tcMar>
            <w:vAlign w:val="center"/>
          </w:tcPr>
          <w:p>
            <w:pPr>
              <w:jc w:val="left"/>
            </w:pPr>
            <w:r>
              <w:rPr>
                <w:b w:val="false"/>
                <w:bCs w:val="false"/>
              </w:rPr>
              <w:t xml:space="preserve">Marge commerciale</w:t>
            </w:r>
          </w:p>
        </w:tc>
        <w:tc>
          <w:tcPr>
            <w:tcMar>
              <w:top w:type="dxa" w:w="80"/>
              <w:left w:type="dxa" w:w="100"/>
              <w:bottom w:type="dxa" w:w="80"/>
              <w:right w:type="dxa" w:w="100"/>
            </w:tcMar>
            <w:vAlign w:val="center"/>
          </w:tcPr>
          <w:p>
            <w:pPr>
              <w:jc w:val="left"/>
            </w:pPr>
            <w:r>
              <w:rPr>
                <w:b w:val="false"/>
                <w:bCs w:val="false"/>
              </w:rPr>
              <w:t xml:space="preserve">12 %</w:t>
            </w:r>
          </w:p>
        </w:tc>
        <w:tc>
          <w:tcPr>
            <w:tcMar>
              <w:top w:type="dxa" w:w="80"/>
              <w:left w:type="dxa" w:w="100"/>
              <w:bottom w:type="dxa" w:w="80"/>
              <w:right w:type="dxa" w:w="100"/>
            </w:tcMar>
            <w:vAlign w:val="center"/>
          </w:tcPr>
          <w:p>
            <w:pPr>
              <w:jc w:val="left"/>
            </w:pPr>
            <w:r>
              <w:rPr>
                <w:b w:val="false"/>
                <w:bCs w:val="false"/>
              </w:rPr>
              <w:t xml:space="preserve">9 518,54 €</w:t>
            </w:r>
          </w:p>
        </w:tc>
      </w:tr>
      <w:tr>
        <w:tc>
          <w:tcPr>
            <w:shd w:fill="D9E8D5" w:val="clear"/>
            <w:tcMar>
              <w:top w:type="dxa" w:w="80"/>
              <w:left w:type="dxa" w:w="100"/>
              <w:bottom w:type="dxa" w:w="80"/>
              <w:right w:type="dxa" w:w="100"/>
            </w:tcMar>
            <w:vAlign w:val="center"/>
          </w:tcPr>
          <w:p>
            <w:pPr>
              <w:jc w:val="left"/>
            </w:pPr>
            <w:r>
              <w:rPr>
                <w:b/>
                <w:bCs/>
              </w:rPr>
              <w:t xml:space="preserve">Total prestation HT</w:t>
            </w:r>
          </w:p>
        </w:tc>
        <w:tc>
          <w:tcPr>
            <w:shd w:fill="D9E8D5" w:val="clear"/>
            <w:tcMar>
              <w:top w:type="dxa" w:w="80"/>
              <w:left w:type="dxa" w:w="100"/>
              <w:bottom w:type="dxa" w:w="80"/>
              <w:right w:type="dxa" w:w="100"/>
            </w:tcMar>
            <w:vAlign w:val="center"/>
          </w:tcPr>
          <w:p>
            <w:pPr>
              <w:jc w:val="left"/>
            </w:pPr>
            <w:r>
              <w:rPr>
                <w:b/>
                <w:bCs/>
              </w:rPr>
              <w:t xml:space="preserve">—</w:t>
            </w:r>
          </w:p>
        </w:tc>
        <w:tc>
          <w:tcPr>
            <w:shd w:fill="D9E8D5" w:val="clear"/>
            <w:tcMar>
              <w:top w:type="dxa" w:w="80"/>
              <w:left w:type="dxa" w:w="100"/>
              <w:bottom w:type="dxa" w:w="80"/>
              <w:right w:type="dxa" w:w="100"/>
            </w:tcMar>
            <w:vAlign w:val="center"/>
          </w:tcPr>
          <w:p>
            <w:pPr>
              <w:jc w:val="left"/>
            </w:pPr>
            <w:r>
              <w:rPr>
                <w:b/>
                <w:bCs/>
              </w:rPr>
              <w:t xml:space="preserve">88 839,74 €</w:t>
            </w:r>
          </w:p>
        </w:tc>
      </w:tr>
    </w:tbl>
    <w:p>
      <w:pPr>
        <w:spacing w:after="200" w:before="80"/>
      </w:pPr>
      <w:r>
        <w:rPr>
          <w:i/>
          <w:iCs/>
          <w:color w:val="666666"/>
          <w:sz w:val="20"/>
          <w:szCs w:val="20"/>
        </w:rPr>
        <w:t xml:space="preserve">Frais de structure et provision pour aléas calculés sur le coût de revient RH ; la marge commerciale est calculée sur le sous-total (RH + structure + aléas), pratique usuelle pour un chiffrage de prestation de service. Ces taux (8 % / 6 % / 12 %) sont des hypothèses de gestion interne à la structure fictive, non issues d'un baromètre externe — à la différence des TJM du §2, qui eux sont sourcés.</w:t>
      </w:r>
    </w:p>
    <w:p>
      <w:pPr>
        <w:pStyle w:val="Heading1"/>
        <w:spacing w:after="180" w:before="380"/>
      </w:pPr>
      <w:r>
        <w:rPr>
          <w:b/>
          <w:bCs/>
          <w:color w:val="1F3864"/>
        </w:rPr>
        <w:t xml:space="preserve">7. Récapitulatif budgétaire global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800"/>
        <w:gridCol w:w="2600"/>
      </w:tblGrid>
      <w:tr>
        <w:trPr>
          <w:tblHeader/>
        </w:trPr>
        <w:tc>
          <w:tcPr>
            <w:shd w:fill="1F3864" w:val="clear"/>
            <w:tcMar>
              <w:top w:type="dxa" w:w="80"/>
              <w:left w:type="dxa" w:w="100"/>
              <w:bottom w:type="dxa" w:w="80"/>
              <w:right w:type="dxa" w:w="100"/>
            </w:tcMar>
            <w:vAlign w:val="center"/>
          </w:tcPr>
          <w:p>
            <w:pPr>
              <w:jc w:val="left"/>
            </w:pPr>
            <w:r>
              <w:rPr>
                <w:b/>
                <w:bCs/>
                <w:color w:val="FFFFFF"/>
              </w:rPr>
              <w:t xml:space="preserve">Poste</w:t>
            </w:r>
          </w:p>
        </w:tc>
        <w:tc>
          <w:tcPr>
            <w:shd w:fill="1F3864" w:val="clear"/>
            <w:tcMar>
              <w:top w:type="dxa" w:w="80"/>
              <w:left w:type="dxa" w:w="100"/>
              <w:bottom w:type="dxa" w:w="80"/>
              <w:right w:type="dxa" w:w="100"/>
            </w:tcMar>
            <w:vAlign w:val="center"/>
          </w:tcPr>
          <w:p>
            <w:pPr>
              <w:jc w:val="left"/>
            </w:pPr>
            <w:r>
              <w:rPr>
                <w:b/>
                <w:bCs/>
                <w:color w:val="FFFFFF"/>
              </w:rPr>
              <w:t xml:space="preserve">Montant HT</w:t>
            </w:r>
          </w:p>
        </w:tc>
      </w:tr>
      <w:tr>
        <w:tc>
          <w:tcPr>
            <w:tcMar>
              <w:top w:type="dxa" w:w="80"/>
              <w:left w:type="dxa" w:w="100"/>
              <w:bottom w:type="dxa" w:w="80"/>
              <w:right w:type="dxa" w:w="100"/>
            </w:tcMar>
            <w:vAlign w:val="center"/>
          </w:tcPr>
          <w:p>
            <w:pPr>
              <w:jc w:val="left"/>
            </w:pPr>
            <w:r>
              <w:rPr>
                <w:b w:val="false"/>
                <w:bCs w:val="false"/>
              </w:rPr>
              <w:t xml:space="preserve">Prestation (RH + structure + aléas + marge)</w:t>
            </w:r>
          </w:p>
        </w:tc>
        <w:tc>
          <w:tcPr>
            <w:tcMar>
              <w:top w:type="dxa" w:w="80"/>
              <w:left w:type="dxa" w:w="100"/>
              <w:bottom w:type="dxa" w:w="80"/>
              <w:right w:type="dxa" w:w="100"/>
            </w:tcMar>
            <w:vAlign w:val="center"/>
          </w:tcPr>
          <w:p>
            <w:pPr>
              <w:jc w:val="left"/>
            </w:pPr>
            <w:r>
              <w:rPr>
                <w:b w:val="false"/>
                <w:bCs w:val="false"/>
              </w:rPr>
              <w:t xml:space="preserve">88 839,74 €</w:t>
            </w:r>
          </w:p>
        </w:tc>
      </w:tr>
      <w:tr>
        <w:tc>
          <w:tcPr>
            <w:shd w:fill="F2F2F2" w:val="clear"/>
            <w:tcMar>
              <w:top w:type="dxa" w:w="80"/>
              <w:left w:type="dxa" w:w="100"/>
              <w:bottom w:type="dxa" w:w="80"/>
              <w:right w:type="dxa" w:w="100"/>
            </w:tcMar>
            <w:vAlign w:val="center"/>
          </w:tcPr>
          <w:p>
            <w:pPr>
              <w:jc w:val="left"/>
            </w:pPr>
            <w:r>
              <w:rPr>
                <w:b w:val="false"/>
                <w:bCs w:val="false"/>
              </w:rPr>
              <w:t xml:space="preserve">Infrastructure &amp; hébergement (6 mois, au réel)</w:t>
            </w:r>
          </w:p>
        </w:tc>
        <w:tc>
          <w:tcPr>
            <w:shd w:fill="F2F2F2" w:val="clear"/>
            <w:tcMar>
              <w:top w:type="dxa" w:w="80"/>
              <w:left w:type="dxa" w:w="100"/>
              <w:bottom w:type="dxa" w:w="80"/>
              <w:right w:type="dxa" w:w="100"/>
            </w:tcMar>
            <w:vAlign w:val="center"/>
          </w:tcPr>
          <w:p>
            <w:pPr>
              <w:jc w:val="left"/>
            </w:pPr>
            <w:r>
              <w:rPr>
                <w:b w:val="false"/>
                <w:bCs w:val="false"/>
              </w:rPr>
              <w:t xml:space="preserve">371,82 €</w:t>
            </w:r>
          </w:p>
        </w:tc>
      </w:tr>
      <w:tr>
        <w:tc>
          <w:tcPr>
            <w:tcMar>
              <w:top w:type="dxa" w:w="80"/>
              <w:left w:type="dxa" w:w="100"/>
              <w:bottom w:type="dxa" w:w="80"/>
              <w:right w:type="dxa" w:w="100"/>
            </w:tcMar>
            <w:vAlign w:val="center"/>
          </w:tcPr>
          <w:p>
            <w:pPr>
              <w:jc w:val="left"/>
            </w:pPr>
            <w:r>
              <w:rPr>
                <w:b w:val="false"/>
                <w:bCs w:val="false"/>
              </w:rPr>
              <w:t xml:space="preserve">Total HT</w:t>
            </w:r>
          </w:p>
        </w:tc>
        <w:tc>
          <w:tcPr>
            <w:tcMar>
              <w:top w:type="dxa" w:w="80"/>
              <w:left w:type="dxa" w:w="100"/>
              <w:bottom w:type="dxa" w:w="80"/>
              <w:right w:type="dxa" w:w="100"/>
            </w:tcMar>
            <w:vAlign w:val="center"/>
          </w:tcPr>
          <w:p>
            <w:pPr>
              <w:jc w:val="left"/>
            </w:pPr>
            <w:r>
              <w:rPr>
                <w:b w:val="false"/>
                <w:bCs w:val="false"/>
              </w:rPr>
              <w:t xml:space="preserve">89 211,56 €</w:t>
            </w:r>
          </w:p>
        </w:tc>
      </w:tr>
      <w:tr>
        <w:tc>
          <w:tcPr>
            <w:shd w:fill="F2F2F2" w:val="clear"/>
            <w:tcMar>
              <w:top w:type="dxa" w:w="80"/>
              <w:left w:type="dxa" w:w="100"/>
              <w:bottom w:type="dxa" w:w="80"/>
              <w:right w:type="dxa" w:w="100"/>
            </w:tcMar>
            <w:vAlign w:val="center"/>
          </w:tcPr>
          <w:p>
            <w:pPr>
              <w:jc w:val="left"/>
            </w:pPr>
            <w:r>
              <w:rPr>
                <w:b w:val="false"/>
                <w:bCs w:val="false"/>
              </w:rPr>
              <w:t xml:space="preserve">TVA (20 %)</w:t>
            </w:r>
          </w:p>
        </w:tc>
        <w:tc>
          <w:tcPr>
            <w:shd w:fill="F2F2F2" w:val="clear"/>
            <w:tcMar>
              <w:top w:type="dxa" w:w="80"/>
              <w:left w:type="dxa" w:w="100"/>
              <w:bottom w:type="dxa" w:w="80"/>
              <w:right w:type="dxa" w:w="100"/>
            </w:tcMar>
            <w:vAlign w:val="center"/>
          </w:tcPr>
          <w:p>
            <w:pPr>
              <w:jc w:val="left"/>
            </w:pPr>
            <w:r>
              <w:rPr>
                <w:b w:val="false"/>
                <w:bCs w:val="false"/>
              </w:rPr>
              <w:t xml:space="preserve">17 842,31 €</w:t>
            </w:r>
          </w:p>
        </w:tc>
      </w:tr>
      <w:tr>
        <w:tc>
          <w:tcPr>
            <w:shd w:fill="D9E8D5" w:val="clear"/>
            <w:tcMar>
              <w:top w:type="dxa" w:w="80"/>
              <w:left w:type="dxa" w:w="100"/>
              <w:bottom w:type="dxa" w:w="80"/>
              <w:right w:type="dxa" w:w="100"/>
            </w:tcMar>
            <w:vAlign w:val="center"/>
          </w:tcPr>
          <w:p>
            <w:pPr>
              <w:jc w:val="left"/>
            </w:pPr>
            <w:r>
              <w:rPr>
                <w:b/>
                <w:bCs/>
              </w:rPr>
              <w:t xml:space="preserve">Total TTC</w:t>
            </w:r>
          </w:p>
        </w:tc>
        <w:tc>
          <w:tcPr>
            <w:shd w:fill="D9E8D5" w:val="clear"/>
            <w:tcMar>
              <w:top w:type="dxa" w:w="80"/>
              <w:left w:type="dxa" w:w="100"/>
              <w:bottom w:type="dxa" w:w="80"/>
              <w:right w:type="dxa" w:w="100"/>
            </w:tcMar>
            <w:vAlign w:val="center"/>
          </w:tcPr>
          <w:p>
            <w:pPr>
              <w:jc w:val="left"/>
            </w:pPr>
            <w:r>
              <w:rPr>
                <w:b/>
                <w:bCs/>
              </w:rPr>
              <w:t xml:space="preserve">107 053,88 €</w:t>
            </w:r>
          </w:p>
        </w:tc>
      </w:tr>
    </w:tbl>
    <w:p>
      <w:pPr>
        <w:spacing w:after="140"/>
      </w:pPr>
      <w:r>
        <w:rPr>
          <w:i/>
          <w:iCs/>
        </w:rPr>
        <w:t xml:space="preserve">Soit, ramené à la durée du projet (23 semaines) : environ 3 870 € HT/semaine ou 774 € HT/jour ouvré, cohérent avec un projet d'infrastructure PRA/DR mobilisant 3 profils juniors en parallèle sur des phases à forte intensité (déploiement, tests d'incidents).</w:t>
      </w:r>
    </w:p>
    <w:p>
      <w:pPr>
        <w:pStyle w:val="Heading1"/>
        <w:spacing w:after="180" w:before="380"/>
      </w:pPr>
      <w:r>
        <w:rPr>
          <w:b/>
          <w:bCs/>
          <w:color w:val="1F3864"/>
        </w:rPr>
        <w:t xml:space="preserve">8. Comparatif POC étudiant vs déploiement en conditions d'entreprise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rPr>
          <w:tblHeader/>
        </w:trPr>
        <w:tc>
          <w:tcPr>
            <w:shd w:fill="1F3864" w:val="clear"/>
            <w:tcMar>
              <w:top w:type="dxa" w:w="80"/>
              <w:left w:type="dxa" w:w="100"/>
              <w:bottom w:type="dxa" w:w="80"/>
              <w:right w:type="dxa" w:w="100"/>
            </w:tcMar>
            <w:vAlign w:val="center"/>
          </w:tcPr>
          <w:p>
            <w:pPr>
              <w:jc w:val="left"/>
            </w:pPr>
            <w:r>
              <w:rPr>
                <w:b/>
                <w:bCs/>
                <w:color w:val="FFFFFF"/>
              </w:rPr>
              <w:t xml:space="preserve"/>
            </w:r>
          </w:p>
        </w:tc>
        <w:tc>
          <w:tcPr>
            <w:shd w:fill="1F3864" w:val="clear"/>
            <w:tcMar>
              <w:top w:type="dxa" w:w="80"/>
              <w:left w:type="dxa" w:w="100"/>
              <w:bottom w:type="dxa" w:w="80"/>
              <w:right w:type="dxa" w:w="100"/>
            </w:tcMar>
            <w:vAlign w:val="center"/>
          </w:tcPr>
          <w:p>
            <w:pPr>
              <w:jc w:val="left"/>
            </w:pPr>
            <w:r>
              <w:rPr>
                <w:b/>
                <w:bCs/>
                <w:color w:val="FFFFFF"/>
              </w:rPr>
              <w:t xml:space="preserve">POC étudiant (réalisé)</w:t>
            </w:r>
          </w:p>
        </w:tc>
        <w:tc>
          <w:tcPr>
            <w:shd w:fill="1F3864" w:val="clear"/>
            <w:tcMar>
              <w:top w:type="dxa" w:w="80"/>
              <w:left w:type="dxa" w:w="100"/>
              <w:bottom w:type="dxa" w:w="80"/>
              <w:right w:type="dxa" w:w="100"/>
            </w:tcMar>
            <w:vAlign w:val="center"/>
          </w:tcPr>
          <w:p>
            <w:pPr>
              <w:jc w:val="left"/>
            </w:pPr>
            <w:r>
              <w:rPr>
                <w:b/>
                <w:bCs/>
                <w:color w:val="FFFFFF"/>
              </w:rPr>
              <w:t xml:space="preserve">Déploiement entreprise (ce chiffrage)</w:t>
            </w:r>
          </w:p>
        </w:tc>
      </w:tr>
      <w:tr>
        <w:tc>
          <w:tcPr>
            <w:tcMar>
              <w:top w:type="dxa" w:w="80"/>
              <w:left w:type="dxa" w:w="100"/>
              <w:bottom w:type="dxa" w:w="80"/>
              <w:right w:type="dxa" w:w="100"/>
            </w:tcMar>
            <w:vAlign w:val="center"/>
          </w:tcPr>
          <w:p>
            <w:pPr>
              <w:jc w:val="left"/>
            </w:pPr>
            <w:r>
              <w:rPr>
                <w:b w:val="false"/>
                <w:bCs w:val="false"/>
              </w:rPr>
              <w:t xml:space="preserve">Durée</w:t>
            </w:r>
          </w:p>
        </w:tc>
        <w:tc>
          <w:tcPr>
            <w:tcMar>
              <w:top w:type="dxa" w:w="80"/>
              <w:left w:type="dxa" w:w="100"/>
              <w:bottom w:type="dxa" w:w="80"/>
              <w:right w:type="dxa" w:w="100"/>
            </w:tcMar>
            <w:vAlign w:val="center"/>
          </w:tcPr>
          <w:p>
            <w:pPr>
              <w:jc w:val="left"/>
            </w:pPr>
            <w:r>
              <w:rPr>
                <w:b w:val="false"/>
                <w:bCs w:val="false"/>
              </w:rPr>
              <w:t xml:space="preserve">≈ 3 semaines</w:t>
            </w:r>
          </w:p>
        </w:tc>
        <w:tc>
          <w:tcPr>
            <w:tcMar>
              <w:top w:type="dxa" w:w="80"/>
              <w:left w:type="dxa" w:w="100"/>
              <w:bottom w:type="dxa" w:w="80"/>
              <w:right w:type="dxa" w:w="100"/>
            </w:tcMar>
            <w:vAlign w:val="center"/>
          </w:tcPr>
          <w:p>
            <w:pPr>
              <w:jc w:val="left"/>
            </w:pPr>
            <w:r>
              <w:rPr>
                <w:b w:val="false"/>
                <w:bCs w:val="false"/>
              </w:rPr>
              <w:t xml:space="preserve">23 semaines (≈ 5,5 mois)</w:t>
            </w:r>
          </w:p>
        </w:tc>
      </w:tr>
      <w:tr>
        <w:tc>
          <w:tcPr>
            <w:shd w:fill="F2F2F2" w:val="clear"/>
            <w:tcMar>
              <w:top w:type="dxa" w:w="80"/>
              <w:left w:type="dxa" w:w="100"/>
              <w:bottom w:type="dxa" w:w="80"/>
              <w:right w:type="dxa" w:w="100"/>
            </w:tcMar>
            <w:vAlign w:val="center"/>
          </w:tcPr>
          <w:p>
            <w:pPr>
              <w:jc w:val="left"/>
            </w:pPr>
            <w:r>
              <w:rPr>
                <w:b w:val="false"/>
                <w:bCs w:val="false"/>
              </w:rPr>
              <w:t xml:space="preserve">Équipe</w:t>
            </w:r>
          </w:p>
        </w:tc>
        <w:tc>
          <w:tcPr>
            <w:shd w:fill="F2F2F2" w:val="clear"/>
            <w:tcMar>
              <w:top w:type="dxa" w:w="80"/>
              <w:left w:type="dxa" w:w="100"/>
              <w:bottom w:type="dxa" w:w="80"/>
              <w:right w:type="dxa" w:w="100"/>
            </w:tcMar>
            <w:vAlign w:val="center"/>
          </w:tcPr>
          <w:p>
            <w:pPr>
              <w:jc w:val="left"/>
            </w:pPr>
            <w:r>
              <w:rPr>
                <w:b w:val="false"/>
                <w:bCs w:val="false"/>
              </w:rPr>
              <w:t xml:space="preserve">3 étudiants, temps partagé avec les cours</w:t>
            </w:r>
          </w:p>
        </w:tc>
        <w:tc>
          <w:tcPr>
            <w:shd w:fill="F2F2F2" w:val="clear"/>
            <w:tcMar>
              <w:top w:type="dxa" w:w="80"/>
              <w:left w:type="dxa" w:w="100"/>
              <w:bottom w:type="dxa" w:w="80"/>
              <w:right w:type="dxa" w:w="100"/>
            </w:tcMar>
            <w:vAlign w:val="center"/>
          </w:tcPr>
          <w:p>
            <w:pPr>
              <w:jc w:val="left"/>
            </w:pPr>
            <w:r>
              <w:rPr>
                <w:b w:val="false"/>
                <w:bCs w:val="false"/>
              </w:rPr>
              <w:t xml:space="preserve">3 profils juniors (0-2 ans), TJM de marché sourcés</w:t>
            </w:r>
          </w:p>
        </w:tc>
      </w:tr>
      <w:tr>
        <w:tc>
          <w:tcPr>
            <w:tcMar>
              <w:top w:type="dxa" w:w="80"/>
              <w:left w:type="dxa" w:w="100"/>
              <w:bottom w:type="dxa" w:w="80"/>
              <w:right w:type="dxa" w:w="100"/>
            </w:tcMar>
            <w:vAlign w:val="center"/>
          </w:tcPr>
          <w:p>
            <w:pPr>
              <w:jc w:val="left"/>
            </w:pPr>
            <w:r>
              <w:rPr>
                <w:b w:val="false"/>
                <w:bCs w:val="false"/>
              </w:rPr>
              <w:t xml:space="preserve">Hébergement</w:t>
            </w:r>
          </w:p>
        </w:tc>
        <w:tc>
          <w:tcPr>
            <w:tcMar>
              <w:top w:type="dxa" w:w="80"/>
              <w:left w:type="dxa" w:w="100"/>
              <w:bottom w:type="dxa" w:w="80"/>
              <w:right w:type="dxa" w:w="100"/>
            </w:tcMar>
            <w:vAlign w:val="center"/>
          </w:tcPr>
          <w:p>
            <w:pPr>
              <w:jc w:val="left"/>
            </w:pPr>
            <w:r>
              <w:rPr>
                <w:b w:val="false"/>
                <w:bCs w:val="false"/>
              </w:rPr>
              <w:t xml:space="preserve">1 mois, 71,98 € TTC</w:t>
            </w:r>
          </w:p>
        </w:tc>
        <w:tc>
          <w:tcPr>
            <w:tcMar>
              <w:top w:type="dxa" w:w="80"/>
              <w:left w:type="dxa" w:w="100"/>
              <w:bottom w:type="dxa" w:w="80"/>
              <w:right w:type="dxa" w:w="100"/>
            </w:tcMar>
            <w:vAlign w:val="center"/>
          </w:tcPr>
          <w:p>
            <w:pPr>
              <w:jc w:val="left"/>
            </w:pPr>
            <w:r>
              <w:rPr>
                <w:b w:val="false"/>
                <w:bCs w:val="false"/>
              </w:rPr>
              <w:t xml:space="preserve">6 mois, 371,82 € HT (hors marge)</w:t>
            </w:r>
          </w:p>
        </w:tc>
      </w:tr>
      <w:tr>
        <w:tc>
          <w:tcPr>
            <w:shd w:fill="F2F2F2" w:val="clear"/>
            <w:tcMar>
              <w:top w:type="dxa" w:w="80"/>
              <w:left w:type="dxa" w:w="100"/>
              <w:bottom w:type="dxa" w:w="80"/>
              <w:right w:type="dxa" w:w="100"/>
            </w:tcMar>
            <w:vAlign w:val="center"/>
          </w:tcPr>
          <w:p>
            <w:pPr>
              <w:jc w:val="left"/>
            </w:pPr>
            <w:r>
              <w:rPr>
                <w:b w:val="false"/>
                <w:bCs w:val="false"/>
              </w:rPr>
              <w:t xml:space="preserve">Main-d'œuvre valorisée</w:t>
            </w:r>
          </w:p>
        </w:tc>
        <w:tc>
          <w:tcPr>
            <w:shd w:fill="F2F2F2" w:val="clear"/>
            <w:tcMar>
              <w:top w:type="dxa" w:w="80"/>
              <w:left w:type="dxa" w:w="100"/>
              <w:bottom w:type="dxa" w:w="80"/>
              <w:right w:type="dxa" w:w="100"/>
            </w:tcMar>
            <w:vAlign w:val="center"/>
          </w:tcPr>
          <w:p>
            <w:pPr>
              <w:jc w:val="left"/>
            </w:pPr>
            <w:r>
              <w:rPr>
                <w:b w:val="false"/>
                <w:bCs w:val="false"/>
              </w:rPr>
              <w:t xml:space="preserve">≈ 7 600 € (valorisation fictive)</w:t>
            </w:r>
          </w:p>
        </w:tc>
        <w:tc>
          <w:tcPr>
            <w:shd w:fill="F2F2F2" w:val="clear"/>
            <w:tcMar>
              <w:top w:type="dxa" w:w="80"/>
              <w:left w:type="dxa" w:w="100"/>
              <w:bottom w:type="dxa" w:w="80"/>
              <w:right w:type="dxa" w:w="100"/>
            </w:tcMar>
            <w:vAlign w:val="center"/>
          </w:tcPr>
          <w:p>
            <w:pPr>
              <w:jc w:val="left"/>
            </w:pPr>
            <w:r>
              <w:rPr>
                <w:b w:val="false"/>
                <w:bCs w:val="false"/>
              </w:rPr>
              <w:t xml:space="preserve">69 580,00 € (coût de revient réel, TJM sourcés)</w:t>
            </w:r>
          </w:p>
        </w:tc>
      </w:tr>
      <w:tr>
        <w:tc>
          <w:tcPr>
            <w:tcMar>
              <w:top w:type="dxa" w:w="80"/>
              <w:left w:type="dxa" w:w="100"/>
              <w:bottom w:type="dxa" w:w="80"/>
              <w:right w:type="dxa" w:w="100"/>
            </w:tcMar>
            <w:vAlign w:val="center"/>
          </w:tcPr>
          <w:p>
            <w:pPr>
              <w:jc w:val="left"/>
            </w:pPr>
            <w:r>
              <w:rPr>
                <w:b w:val="false"/>
                <w:bCs w:val="false"/>
              </w:rPr>
              <w:t xml:space="preserve">Total</w:t>
            </w:r>
          </w:p>
        </w:tc>
        <w:tc>
          <w:tcPr>
            <w:tcMar>
              <w:top w:type="dxa" w:w="80"/>
              <w:left w:type="dxa" w:w="100"/>
              <w:bottom w:type="dxa" w:w="80"/>
              <w:right w:type="dxa" w:w="100"/>
            </w:tcMar>
            <w:vAlign w:val="center"/>
          </w:tcPr>
          <w:p>
            <w:pPr>
              <w:jc w:val="left"/>
            </w:pPr>
            <w:r>
              <w:rPr>
                <w:b w:val="false"/>
                <w:bCs w:val="false"/>
              </w:rPr>
              <w:t xml:space="preserve">≈ 72 € TTC (hébergement seul, POC non facturé)</w:t>
            </w:r>
          </w:p>
        </w:tc>
        <w:tc>
          <w:tcPr>
            <w:tcMar>
              <w:top w:type="dxa" w:w="80"/>
              <w:left w:type="dxa" w:w="100"/>
              <w:bottom w:type="dxa" w:w="80"/>
              <w:right w:type="dxa" w:w="100"/>
            </w:tcMar>
            <w:vAlign w:val="center"/>
          </w:tcPr>
          <w:p>
            <w:pPr>
              <w:jc w:val="left"/>
            </w:pPr>
            <w:r>
              <w:rPr>
                <w:b w:val="false"/>
                <w:bCs w:val="false"/>
              </w:rPr>
              <w:t xml:space="preserve">107 053,88 € TTC (prestation + hébergement)</w:t>
            </w:r>
          </w:p>
        </w:tc>
      </w:tr>
    </w:tbl>
    <w:p>
      <w:pPr>
        <w:spacing w:after="200" w:before="80"/>
      </w:pPr>
      <w:r>
        <w:rPr>
          <w:i/>
          <w:iCs/>
          <w:color w:val="666666"/>
          <w:sz w:val="20"/>
          <w:szCs w:val="20"/>
        </w:rPr>
        <w:t xml:space="preserve">Ce comparatif illustre l'écart entre un exercice pédagogique (charge non valorisée, délais compressés) et un projet réellement livré par une jeune structure à un client (charge complète valorisée à un TJM junior de marché, délais réalistes intégrant validations client, itérations et gestion des risques).</w:t>
      </w:r>
    </w:p>
    <w:p>
      <w:pPr>
        <w:pStyle w:val="Heading1"/>
        <w:spacing w:after="180" w:before="380"/>
      </w:pPr>
      <w:r>
        <w:rPr>
          <w:b/>
          <w:bCs/>
          <w:color w:val="1F3864"/>
        </w:rPr>
        <w:t xml:space="preserve">9. Échéancier de facturation proposé</w:t>
      </w:r>
    </w:p>
    <w:p>
      <w:pPr>
        <w:spacing w:after="140"/>
      </w:pPr>
      <w:r>
        <w:t xml:space="preserve">Facturation en 4 échéances, alignées sur les jalons majeurs du planning en annexe :</w:t>
      </w:r>
    </w:p>
    <w:p>
      <w:pPr>
        <w:pStyle w:val="ListParagraph"/>
        <w:numPr>
          <w:ilvl w:val="0"/>
          <w:numId w:val="2"/>
        </w:numPr>
        <w:spacing w:after="60"/>
      </w:pPr>
      <w:r>
        <w:t xml:space="preserve">30 % à la commande (validation du cadrage — jalon phase 1) : 26 651,92 € HT</w:t>
      </w:r>
    </w:p>
    <w:p>
      <w:pPr>
        <w:pStyle w:val="ListParagraph"/>
        <w:numPr>
          <w:ilvl w:val="0"/>
          <w:numId w:val="2"/>
        </w:numPr>
        <w:spacing w:after="60"/>
      </w:pPr>
      <w:r>
        <w:t xml:space="preserve">30 % à la mise en service du socle applicatif (jalon phase 4) : 26 651,92 € HT</w:t>
      </w:r>
    </w:p>
    <w:p>
      <w:pPr>
        <w:pStyle w:val="ListParagraph"/>
        <w:numPr>
          <w:ilvl w:val="0"/>
          <w:numId w:val="2"/>
        </w:numPr>
        <w:spacing w:after="60"/>
      </w:pPr>
      <w:r>
        <w:t xml:space="preserve">25 % à la validation du PRA/DR — RPO/RTO prouvés (jalon phase 7) : 22 209,94 € HT</w:t>
      </w:r>
    </w:p>
    <w:p>
      <w:pPr>
        <w:pStyle w:val="ListParagraph"/>
        <w:numPr>
          <w:ilvl w:val="0"/>
          <w:numId w:val="2"/>
        </w:numPr>
        <w:spacing w:after="60"/>
      </w:pPr>
      <w:r>
        <w:t xml:space="preserve">15 % à la livraison finale et recette client (jalon phase 9) : 13 325,96 € HT</w:t>
      </w:r>
    </w:p>
    <w:p>
      <w:pPr>
        <w:spacing w:after="200" w:before="80"/>
      </w:pPr>
      <w:r>
        <w:rPr>
          <w:i/>
          <w:iCs/>
          <w:color w:val="666666"/>
          <w:sz w:val="20"/>
          <w:szCs w:val="20"/>
        </w:rPr>
        <w:t xml:space="preserve">Échéancier usuel pour ce type de prestation, à ajuster contractuellement (acompte à la commande souvent plus élevé sur des projets impliquant des coûts d'infrastructure engagés dès le démarrage).</w:t>
      </w:r>
    </w:p>
    <w:p>
      <w:pPr>
        <w:pStyle w:val="Heading1"/>
        <w:spacing w:after="180" w:before="380"/>
      </w:pPr>
      <w:r>
        <w:rPr>
          <w:b/>
          <w:bCs/>
          <w:color w:val="1F3864"/>
        </w:rPr>
        <w:t xml:space="preserve">10. Annexe</w:t>
      </w:r>
    </w:p>
    <w:p>
      <w:pPr>
        <w:spacing w:after="140"/>
      </w:pPr>
      <w:r>
        <w:t xml:space="preserve">Le planning détaillé correspondant à ce chiffrage (45 tâches, 9 phases, dépendances, jalons et affectation par intervenant) est fourni séparément au format vectoriel SVG (Helpdesk-Atlas-Planning-Gantt.svg) — image autoportante à insérer directement dans le dossier ou les diapositives de soutenance.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Helpdesk Atlas — Chiffrage prestation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2026-07-15T20:18:58.067Z</dcterms:created>
  <dcterms:modified xsi:type="dcterms:W3CDTF">2026-07-15T20:18:58.090Z</dcterms:modified>
</cp:coreProperties>
</file>

<file path=docProps/custom.xml><?xml version="1.0" encoding="utf-8"?>
<Properties xmlns="http://schemas.openxmlformats.org/officeDocument/2006/custom-properties" xmlns:vt="http://schemas.openxmlformats.org/officeDocument/2006/docPropsVTypes"/>
</file>