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0" w:after="40"/>
        <w:jc w:val="center"/>
        <w:rPr/>
      </w:pPr>
      <w:r>
        <w:rPr>
          <w:rFonts w:eastAsia="Calibri" w:cs="Calibri"/>
          <w:b/>
          <w:bCs/>
          <w:color w:val="24313C"/>
          <w:sz w:val="21"/>
          <w:szCs w:val="56"/>
          <w:lang w:val="fr-FR" w:eastAsia="fr-FR"/>
        </w:rPr>
        <w:t>PROJET HELPDESK ATLAS</w:t>
      </w:r>
    </w:p>
    <w:p>
      <w:pPr>
        <w:pStyle w:val="Normal"/>
        <w:spacing w:before="160" w:after="160"/>
        <w:jc w:val="center"/>
        <w:rPr/>
      </w:pPr>
      <w:r>
        <w:rPr>
          <w:rFonts w:eastAsia="Calibri" w:cs="Calibri"/>
          <w:color w:val="24313C"/>
          <w:sz w:val="21"/>
          <w:szCs w:val="30"/>
          <w:lang w:val="fr-FR" w:eastAsia="fr-FR"/>
        </w:rPr>
        <w:t>Portail de tickets et plan de reprise d'activité (PRA/DR) mesurable</w:t>
      </w:r>
    </w:p>
    <w:p>
      <w:pPr>
        <w:pStyle w:val="Normal"/>
        <w:spacing w:before="40" w:after="80"/>
        <w:jc w:val="center"/>
        <w:rPr/>
      </w:pPr>
      <w:r>
        <w:rPr>
          <w:rFonts w:eastAsia="Calibri" w:cs="Calibri"/>
          <w:b/>
          <w:i w:val="false"/>
          <w:iCs/>
          <w:color w:val="24313C"/>
          <w:sz w:val="21"/>
          <w:szCs w:val="26"/>
          <w:lang w:val="fr-FR" w:eastAsia="fr-FR"/>
        </w:rPr>
        <w:t>RPO ≤ 20 min · RTO ≤ 40 min</w:t>
      </w:r>
    </w:p>
    <w:p>
      <w:pPr>
        <w:pStyle w:val="Normal"/>
        <w:pBdr>
          <w:bottom w:val="single" w:sz="10" w:space="6" w:color="9CC2E5"/>
        </w:pBdr>
        <w:spacing w:before="0" w:after="200"/>
        <w:jc w:val="center"/>
        <w:rPr/>
      </w:pPr>
      <w:r>
        <w:rPr/>
      </w:r>
    </w:p>
    <w:p>
      <w:pPr>
        <w:pStyle w:val="Normal"/>
        <w:spacing w:before="560" w:after="0"/>
        <w:jc w:val="center"/>
        <w:rPr/>
      </w:pPr>
      <w:r>
        <w:rPr>
          <w:rFonts w:eastAsia="Calibri" w:cs="Calibri"/>
          <w:color w:val="24313C"/>
          <w:sz w:val="21"/>
          <w:szCs w:val="22"/>
          <w:lang w:val="fr-FR" w:eastAsia="fr-FR"/>
        </w:rPr>
        <w:t>Master 1 IRS — Sujet : DANNOUNE Mohamed-Amine</w:t>
      </w:r>
    </w:p>
    <w:p>
      <w:pPr>
        <w:pStyle w:val="Normal"/>
        <w:spacing w:before="100" w:after="0"/>
        <w:jc w:val="center"/>
        <w:rPr/>
      </w:pPr>
      <w:r>
        <w:rPr>
          <w:rFonts w:eastAsia="Calibri" w:cs="Calibri"/>
          <w:color w:val="24313C"/>
          <w:sz w:val="21"/>
          <w:szCs w:val="22"/>
          <w:lang w:val="fr-FR" w:eastAsia="fr-FR"/>
        </w:rPr>
        <w:t>Équipe projet : Harry · Thibault · Quentin</w:t>
      </w:r>
    </w:p>
    <w:p>
      <w:pPr>
        <w:pStyle w:val="Normal"/>
        <w:spacing w:before="100" w:after="100"/>
        <w:jc w:val="center"/>
        <w:rPr/>
      </w:pPr>
      <w:r>
        <w:rPr>
          <w:rFonts w:eastAsia="Calibri" w:cs="Calibri"/>
          <w:color w:val="24313C"/>
          <w:sz w:val="21"/>
          <w:lang w:val="fr-FR" w:eastAsia="fr-FR"/>
        </w:rPr>
        <w:t>État au 14 juillet 2026 - Document de synthèse du projet</w:t>
      </w:r>
    </w:p>
    <w:p>
      <w:pPr>
        <w:pStyle w:val="Normal"/>
        <w:rPr/>
      </w:pPr>
      <w:r>
        <w:rPr/>
      </w:r>
      <w:r>
        <w:br w:type="page"/>
      </w:r>
    </w:p>
    <w:p>
      <w:pPr>
        <w:pStyle w:val="Titretabledesmatires"/>
        <w:spacing w:before="0" w:after="200"/>
        <w:rPr/>
      </w:pPr>
      <w:bookmarkStart w:id="0" w:name="_Toc235035878"/>
      <w:r>
        <w:rPr>
          <w:rFonts w:eastAsia="Calibri" w:cs="Calibri"/>
          <w:b/>
          <w:bCs/>
          <w:color w:val="17365D"/>
          <w:sz w:val="38"/>
          <w:lang w:val="fr-FR" w:eastAsia="fr-FR"/>
        </w:rPr>
        <w:t>Table des matières</w:t>
      </w:r>
      <w:bookmarkEnd w:id="0"/>
    </w:p>
    <w:sdt>
      <w:sdtPr>
        <w:docPartObj>
          <w:docPartGallery w:val="Table of Contents"/>
          <w:docPartUnique w:val="true"/>
        </w:docPartObj>
      </w:sdtPr>
      <w:sdtContent>
        <w:p>
          <w:pPr>
            <w:pStyle w:val="TOC1"/>
            <w:tabs>
              <w:tab w:val="clear" w:pos="708"/>
              <w:tab w:val="right" w:pos="9025" w:leader="dot"/>
            </w:tabs>
            <w:rPr/>
          </w:pPr>
          <w:r>
            <w:fldChar w:fldCharType="begin"/>
          </w:r>
          <w:r>
            <w:rPr>
              <w:rStyle w:val="IndexLink"/>
            </w:rPr>
            <w:instrText xml:space="preserve"> TOC \o "1-2" \h</w:instrText>
          </w:r>
          <w:r>
            <w:rPr>
              <w:rStyle w:val="IndexLink"/>
            </w:rPr>
            <w:fldChar w:fldCharType="separate"/>
          </w:r>
          <w:hyperlink w:anchor="__RefHeading___Toc3033_3772494354">
            <w:r>
              <w:rPr>
                <w:rStyle w:val="IndexLink"/>
              </w:rPr>
              <w:t>1. Introduction</w:t>
              <w:tab/>
              <w:t>3</w:t>
            </w:r>
          </w:hyperlink>
        </w:p>
        <w:p>
          <w:pPr>
            <w:pStyle w:val="TOC2"/>
            <w:tabs>
              <w:tab w:val="clear" w:pos="708"/>
              <w:tab w:val="right" w:pos="9025" w:leader="dot"/>
            </w:tabs>
            <w:rPr/>
          </w:pPr>
          <w:hyperlink w:anchor="__RefHeading___Toc3035_3772494354">
            <w:r>
              <w:rPr>
                <w:rStyle w:val="IndexLink"/>
              </w:rPr>
              <w:t>1.1 Description du projet</w:t>
              <w:tab/>
              <w:t>3</w:t>
            </w:r>
          </w:hyperlink>
        </w:p>
        <w:p>
          <w:pPr>
            <w:pStyle w:val="TOC2"/>
            <w:tabs>
              <w:tab w:val="clear" w:pos="708"/>
              <w:tab w:val="right" w:pos="9025" w:leader="dot"/>
            </w:tabs>
            <w:rPr/>
          </w:pPr>
          <w:hyperlink w:anchor="__RefHeading___Toc3037_3772494354">
            <w:r>
              <w:rPr>
                <w:rStyle w:val="IndexLink"/>
              </w:rPr>
              <w:t>1.2 Contexte du projet</w:t>
              <w:tab/>
              <w:t>3</w:t>
            </w:r>
          </w:hyperlink>
        </w:p>
        <w:p>
          <w:pPr>
            <w:pStyle w:val="TOC1"/>
            <w:tabs>
              <w:tab w:val="clear" w:pos="708"/>
              <w:tab w:val="right" w:pos="9025" w:leader="dot"/>
            </w:tabs>
            <w:rPr/>
          </w:pPr>
          <w:hyperlink w:anchor="__RefHeading___Toc3039_3772494354">
            <w:r>
              <w:rPr>
                <w:rStyle w:val="IndexLink"/>
              </w:rPr>
              <w:t>2. Analyse de l'existant</w:t>
              <w:tab/>
              <w:t>4</w:t>
            </w:r>
          </w:hyperlink>
        </w:p>
        <w:p>
          <w:pPr>
            <w:pStyle w:val="TOC2"/>
            <w:tabs>
              <w:tab w:val="clear" w:pos="708"/>
              <w:tab w:val="right" w:pos="9025" w:leader="dot"/>
            </w:tabs>
            <w:rPr/>
          </w:pPr>
          <w:hyperlink w:anchor="__RefHeading___Toc3041_3772494354">
            <w:r>
              <w:rPr>
                <w:rStyle w:val="IndexLink"/>
              </w:rPr>
              <w:t>2.1 Analyse SWOT</w:t>
              <w:tab/>
              <w:t>4</w:t>
            </w:r>
          </w:hyperlink>
        </w:p>
        <w:p>
          <w:pPr>
            <w:pStyle w:val="TOC2"/>
            <w:tabs>
              <w:tab w:val="clear" w:pos="708"/>
              <w:tab w:val="right" w:pos="9025" w:leader="dot"/>
            </w:tabs>
            <w:rPr/>
          </w:pPr>
          <w:hyperlink w:anchor="__RefHeading___Toc3043_3772494354">
            <w:r>
              <w:rPr>
                <w:rStyle w:val="IndexLink"/>
              </w:rPr>
              <w:t>2.2 Points à clarifier avec le client</w:t>
              <w:tab/>
              <w:t>4</w:t>
            </w:r>
          </w:hyperlink>
        </w:p>
        <w:p>
          <w:pPr>
            <w:pStyle w:val="TOC1"/>
            <w:tabs>
              <w:tab w:val="clear" w:pos="708"/>
              <w:tab w:val="right" w:pos="9025" w:leader="dot"/>
            </w:tabs>
            <w:rPr/>
          </w:pPr>
          <w:hyperlink w:anchor="__RefHeading___Toc3045_3772494354">
            <w:r>
              <w:rPr>
                <w:rStyle w:val="IndexLink"/>
              </w:rPr>
              <w:t>3. Recueil et expression des besoins</w:t>
              <w:tab/>
              <w:t>5</w:t>
            </w:r>
          </w:hyperlink>
        </w:p>
        <w:p>
          <w:pPr>
            <w:pStyle w:val="TOC2"/>
            <w:tabs>
              <w:tab w:val="clear" w:pos="708"/>
              <w:tab w:val="right" w:pos="9025" w:leader="dot"/>
            </w:tabs>
            <w:rPr/>
          </w:pPr>
          <w:hyperlink w:anchor="__RefHeading___Toc3047_3772494354">
            <w:r>
              <w:rPr>
                <w:rStyle w:val="IndexLink"/>
              </w:rPr>
              <w:t>3.1 Besoins identifiés</w:t>
              <w:tab/>
              <w:t>5</w:t>
            </w:r>
          </w:hyperlink>
        </w:p>
        <w:p>
          <w:pPr>
            <w:pStyle w:val="TOC2"/>
            <w:tabs>
              <w:tab w:val="clear" w:pos="708"/>
              <w:tab w:val="right" w:pos="9025" w:leader="dot"/>
            </w:tabs>
            <w:rPr/>
          </w:pPr>
          <w:hyperlink w:anchor="__RefHeading___Toc3049_3772494354">
            <w:r>
              <w:rPr>
                <w:rStyle w:val="IndexLink"/>
              </w:rPr>
              <w:t>3.2 Matrice d'Eisenhower</w:t>
              <w:tab/>
              <w:t>5</w:t>
            </w:r>
          </w:hyperlink>
        </w:p>
        <w:p>
          <w:pPr>
            <w:pStyle w:val="TOC2"/>
            <w:tabs>
              <w:tab w:val="clear" w:pos="708"/>
              <w:tab w:val="right" w:pos="9025" w:leader="dot"/>
            </w:tabs>
            <w:rPr/>
          </w:pPr>
          <w:hyperlink w:anchor="__RefHeading___Toc3051_3772494354">
            <w:r>
              <w:rPr>
                <w:rStyle w:val="IndexLink"/>
              </w:rPr>
              <w:t>3.3 Cube de Stern</w:t>
              <w:tab/>
              <w:t>5</w:t>
            </w:r>
          </w:hyperlink>
        </w:p>
        <w:p>
          <w:pPr>
            <w:pStyle w:val="TOC1"/>
            <w:tabs>
              <w:tab w:val="clear" w:pos="708"/>
              <w:tab w:val="right" w:pos="9025" w:leader="dot"/>
            </w:tabs>
            <w:rPr/>
          </w:pPr>
          <w:hyperlink w:anchor="__RefHeading___Toc3053_3772494354">
            <w:r>
              <w:rPr>
                <w:rStyle w:val="IndexLink"/>
              </w:rPr>
              <w:t>4. Organisation du projet</w:t>
              <w:tab/>
              <w:t>6</w:t>
            </w:r>
          </w:hyperlink>
        </w:p>
        <w:p>
          <w:pPr>
            <w:pStyle w:val="TOC2"/>
            <w:tabs>
              <w:tab w:val="clear" w:pos="708"/>
              <w:tab w:val="right" w:pos="9025" w:leader="dot"/>
            </w:tabs>
            <w:rPr/>
          </w:pPr>
          <w:hyperlink w:anchor="__RefHeading___Toc3055_3772494354">
            <w:r>
              <w:rPr>
                <w:rStyle w:val="IndexLink"/>
              </w:rPr>
              <w:t>4.1 Comitologie</w:t>
              <w:tab/>
              <w:t>6</w:t>
            </w:r>
          </w:hyperlink>
        </w:p>
        <w:p>
          <w:pPr>
            <w:pStyle w:val="TOC2"/>
            <w:tabs>
              <w:tab w:val="clear" w:pos="708"/>
              <w:tab w:val="right" w:pos="9025" w:leader="dot"/>
            </w:tabs>
            <w:rPr/>
          </w:pPr>
          <w:hyperlink w:anchor="__RefHeading___Toc3057_3772494354">
            <w:r>
              <w:rPr>
                <w:rStyle w:val="IndexLink"/>
              </w:rPr>
              <w:t>4.2 Processus de communication</w:t>
              <w:tab/>
              <w:t>6</w:t>
            </w:r>
          </w:hyperlink>
        </w:p>
        <w:p>
          <w:pPr>
            <w:pStyle w:val="TOC2"/>
            <w:tabs>
              <w:tab w:val="clear" w:pos="708"/>
              <w:tab w:val="right" w:pos="9025" w:leader="dot"/>
            </w:tabs>
            <w:rPr/>
          </w:pPr>
          <w:hyperlink w:anchor="__RefHeading___Toc3059_3772494354">
            <w:r>
              <w:rPr>
                <w:rStyle w:val="IndexLink"/>
              </w:rPr>
              <w:t>4.3 Matrice RACI</w:t>
              <w:tab/>
              <w:t>6</w:t>
            </w:r>
          </w:hyperlink>
        </w:p>
        <w:p>
          <w:pPr>
            <w:pStyle w:val="TOC2"/>
            <w:tabs>
              <w:tab w:val="clear" w:pos="708"/>
              <w:tab w:val="right" w:pos="9025" w:leader="dot"/>
            </w:tabs>
            <w:rPr/>
          </w:pPr>
          <w:hyperlink w:anchor="__RefHeading___Toc3061_3772494354">
            <w:r>
              <w:rPr>
                <w:rStyle w:val="IndexLink"/>
              </w:rPr>
              <w:t>4.4 Organigramme des acteurs du projet</w:t>
              <w:tab/>
              <w:t>6</w:t>
            </w:r>
          </w:hyperlink>
        </w:p>
        <w:p>
          <w:pPr>
            <w:pStyle w:val="TOC2"/>
            <w:tabs>
              <w:tab w:val="clear" w:pos="708"/>
              <w:tab w:val="right" w:pos="9025" w:leader="dot"/>
            </w:tabs>
            <w:rPr/>
          </w:pPr>
          <w:hyperlink w:anchor="__RefHeading___Toc3063_3772494354">
            <w:r>
              <w:rPr>
                <w:rStyle w:val="IndexLink"/>
              </w:rPr>
              <w:t>4.5 Carte mentale</w:t>
              <w:tab/>
              <w:t>6</w:t>
            </w:r>
          </w:hyperlink>
        </w:p>
        <w:p>
          <w:pPr>
            <w:pStyle w:val="TOC1"/>
            <w:tabs>
              <w:tab w:val="clear" w:pos="708"/>
              <w:tab w:val="right" w:pos="9025" w:leader="dot"/>
            </w:tabs>
            <w:rPr/>
          </w:pPr>
          <w:hyperlink w:anchor="__RefHeading___Toc3065_3772494354">
            <w:r>
              <w:rPr>
                <w:rStyle w:val="IndexLink"/>
              </w:rPr>
              <w:t>5. Référentiel d'exigences</w:t>
              <w:tab/>
              <w:t>7</w:t>
            </w:r>
          </w:hyperlink>
        </w:p>
        <w:p>
          <w:pPr>
            <w:pStyle w:val="TOC2"/>
            <w:tabs>
              <w:tab w:val="clear" w:pos="708"/>
              <w:tab w:val="right" w:pos="9025" w:leader="dot"/>
            </w:tabs>
            <w:rPr/>
          </w:pPr>
          <w:hyperlink w:anchor="__RefHeading___Toc3067_3772494354">
            <w:r>
              <w:rPr>
                <w:rStyle w:val="IndexLink"/>
              </w:rPr>
              <w:t>5.1 Exigences fonctionnelles</w:t>
              <w:tab/>
              <w:t>7</w:t>
            </w:r>
          </w:hyperlink>
        </w:p>
        <w:p>
          <w:pPr>
            <w:pStyle w:val="TOC2"/>
            <w:tabs>
              <w:tab w:val="clear" w:pos="708"/>
              <w:tab w:val="right" w:pos="9025" w:leader="dot"/>
            </w:tabs>
            <w:rPr/>
          </w:pPr>
          <w:hyperlink w:anchor="__RefHeading___Toc3069_3772494354">
            <w:r>
              <w:rPr>
                <w:rStyle w:val="IndexLink"/>
              </w:rPr>
              <w:t>5.2 Exigences non fonctionnelles</w:t>
              <w:tab/>
              <w:t>7</w:t>
            </w:r>
          </w:hyperlink>
        </w:p>
        <w:p>
          <w:pPr>
            <w:pStyle w:val="TOC1"/>
            <w:tabs>
              <w:tab w:val="clear" w:pos="708"/>
              <w:tab w:val="right" w:pos="9025" w:leader="dot"/>
            </w:tabs>
            <w:rPr/>
          </w:pPr>
          <w:hyperlink w:anchor="__RefHeading___Toc3071_3772494354">
            <w:r>
              <w:rPr>
                <w:rStyle w:val="IndexLink"/>
              </w:rPr>
              <w:t>6. Comparatif des solutions techniques</w:t>
              <w:tab/>
              <w:t>8</w:t>
            </w:r>
          </w:hyperlink>
        </w:p>
        <w:p>
          <w:pPr>
            <w:pStyle w:val="TOC2"/>
            <w:tabs>
              <w:tab w:val="clear" w:pos="708"/>
              <w:tab w:val="right" w:pos="9025" w:leader="dot"/>
            </w:tabs>
            <w:rPr/>
          </w:pPr>
          <w:hyperlink w:anchor="__RefHeading___Toc3073_3772494354">
            <w:r>
              <w:rPr>
                <w:rStyle w:val="IndexLink"/>
              </w:rPr>
              <w:t>6.1 Solution préconisée</w:t>
              <w:tab/>
              <w:t>8</w:t>
            </w:r>
          </w:hyperlink>
        </w:p>
        <w:p>
          <w:pPr>
            <w:pStyle w:val="TOC1"/>
            <w:tabs>
              <w:tab w:val="clear" w:pos="708"/>
              <w:tab w:val="right" w:pos="9025" w:leader="dot"/>
            </w:tabs>
            <w:rPr/>
          </w:pPr>
          <w:hyperlink w:anchor="__RefHeading___Toc3075_3772494354">
            <w:r>
              <w:rPr>
                <w:rStyle w:val="IndexLink"/>
              </w:rPr>
              <w:t>7. Budget et chiffrage</w:t>
              <w:tab/>
              <w:t>9</w:t>
            </w:r>
          </w:hyperlink>
        </w:p>
        <w:p>
          <w:pPr>
            <w:pStyle w:val="TOC1"/>
            <w:tabs>
              <w:tab w:val="clear" w:pos="708"/>
              <w:tab w:val="right" w:pos="9025" w:leader="dot"/>
            </w:tabs>
            <w:rPr/>
          </w:pPr>
          <w:hyperlink w:anchor="__RefHeading___Toc3077_3772494354">
            <w:r>
              <w:rPr>
                <w:rStyle w:val="IndexLink"/>
              </w:rPr>
              <w:t>8. Macro-planning</w:t>
              <w:tab/>
              <w:t>10</w:t>
            </w:r>
          </w:hyperlink>
        </w:p>
        <w:p>
          <w:pPr>
            <w:pStyle w:val="TOC1"/>
            <w:tabs>
              <w:tab w:val="clear" w:pos="708"/>
              <w:tab w:val="right" w:pos="9025" w:leader="dot"/>
            </w:tabs>
            <w:rPr/>
          </w:pPr>
          <w:hyperlink w:anchor="__RefHeading___Toc3079_3772494354">
            <w:r>
              <w:rPr>
                <w:rStyle w:val="IndexLink"/>
              </w:rPr>
              <w:t>9. Risques et stratégie des tests</w:t>
              <w:tab/>
              <w:t>11</w:t>
            </w:r>
          </w:hyperlink>
        </w:p>
        <w:p>
          <w:pPr>
            <w:pStyle w:val="TOC2"/>
            <w:tabs>
              <w:tab w:val="clear" w:pos="708"/>
              <w:tab w:val="right" w:pos="9025" w:leader="dot"/>
            </w:tabs>
            <w:rPr/>
          </w:pPr>
          <w:hyperlink w:anchor="__RefHeading___Toc3081_3772494354">
            <w:r>
              <w:rPr>
                <w:rStyle w:val="IndexLink"/>
              </w:rPr>
              <w:t>9.1 Matrice des risques (Probabilité x Impact, échelle 1 à 4)</w:t>
              <w:tab/>
              <w:t>11</w:t>
            </w:r>
          </w:hyperlink>
        </w:p>
        <w:p>
          <w:pPr>
            <w:pStyle w:val="TOC2"/>
            <w:tabs>
              <w:tab w:val="clear" w:pos="708"/>
              <w:tab w:val="right" w:pos="9025" w:leader="dot"/>
            </w:tabs>
            <w:rPr/>
          </w:pPr>
          <w:hyperlink w:anchor="__RefHeading___Toc3083_3772494354">
            <w:r>
              <w:rPr>
                <w:rStyle w:val="IndexLink"/>
              </w:rPr>
              <w:t>9.2 Critères de réussite - Tests techniques</w:t>
              <w:tab/>
              <w:t>11</w:t>
            </w:r>
          </w:hyperlink>
        </w:p>
        <w:p>
          <w:pPr>
            <w:pStyle w:val="TOC2"/>
            <w:tabs>
              <w:tab w:val="clear" w:pos="708"/>
              <w:tab w:val="right" w:pos="9025" w:leader="dot"/>
            </w:tabs>
            <w:rPr/>
          </w:pPr>
          <w:hyperlink w:anchor="__RefHeading___Toc3085_3772494354">
            <w:r>
              <w:rPr>
                <w:rStyle w:val="IndexLink"/>
              </w:rPr>
              <w:t>9.3 Critères de réussite - Expérience utilisateur</w:t>
              <w:tab/>
              <w:t>12</w:t>
            </w:r>
          </w:hyperlink>
        </w:p>
        <w:p>
          <w:pPr>
            <w:pStyle w:val="TOC2"/>
            <w:tabs>
              <w:tab w:val="clear" w:pos="708"/>
              <w:tab w:val="right" w:pos="9025" w:leader="dot"/>
            </w:tabs>
            <w:rPr/>
          </w:pPr>
          <w:hyperlink w:anchor="__RefHeading___Toc3087_3772494354">
            <w:r>
              <w:rPr>
                <w:rStyle w:val="IndexLink"/>
              </w:rPr>
              <w:t>9.4 Indicateurs clés de performance (KPI)</w:t>
              <w:tab/>
              <w:t>12</w:t>
            </w:r>
          </w:hyperlink>
        </w:p>
        <w:p>
          <w:pPr>
            <w:pStyle w:val="TOC1"/>
            <w:tabs>
              <w:tab w:val="clear" w:pos="708"/>
              <w:tab w:val="right" w:pos="9025" w:leader="dot"/>
            </w:tabs>
            <w:rPr/>
          </w:pPr>
          <w:hyperlink w:anchor="__RefHeading___Toc3089_3772494354">
            <w:r>
              <w:rPr>
                <w:rStyle w:val="IndexLink"/>
              </w:rPr>
              <w:t>10. Stratégie d'accompagnement au changement</w:t>
              <w:tab/>
              <w:t>13</w:t>
            </w:r>
          </w:hyperlink>
        </w:p>
        <w:p>
          <w:pPr>
            <w:pStyle w:val="TOC2"/>
            <w:tabs>
              <w:tab w:val="clear" w:pos="708"/>
              <w:tab w:val="right" w:pos="9025" w:leader="dot"/>
            </w:tabs>
            <w:rPr/>
          </w:pPr>
          <w:hyperlink w:anchor="__RefHeading___Toc3091_3772494354">
            <w:r>
              <w:rPr>
                <w:rStyle w:val="IndexLink"/>
              </w:rPr>
              <w:t>10.1 Objectif</w:t>
              <w:tab/>
              <w:t>13</w:t>
            </w:r>
          </w:hyperlink>
        </w:p>
        <w:p>
          <w:pPr>
            <w:pStyle w:val="TOC2"/>
            <w:tabs>
              <w:tab w:val="clear" w:pos="708"/>
              <w:tab w:val="right" w:pos="9025" w:leader="dot"/>
            </w:tabs>
            <w:rPr/>
          </w:pPr>
          <w:hyperlink w:anchor="__RefHeading___Toc3093_3772494354">
            <w:r>
              <w:rPr>
                <w:rStyle w:val="IndexLink"/>
              </w:rPr>
              <w:t>10.2 Dispositif de formation et de communication</w:t>
              <w:tab/>
              <w:t>13</w:t>
            </w:r>
          </w:hyperlink>
        </w:p>
        <w:p>
          <w:pPr>
            <w:pStyle w:val="TOC2"/>
            <w:tabs>
              <w:tab w:val="clear" w:pos="708"/>
              <w:tab w:val="right" w:pos="9025" w:leader="dot"/>
            </w:tabs>
            <w:rPr/>
          </w:pPr>
          <w:hyperlink w:anchor="__RefHeading___Toc3095_3772494354">
            <w:r>
              <w:rPr>
                <w:rStyle w:val="IndexLink"/>
              </w:rPr>
              <w:t>10.3 Documentation</w:t>
              <w:tab/>
              <w:t>13</w:t>
            </w:r>
          </w:hyperlink>
        </w:p>
        <w:p>
          <w:pPr>
            <w:pStyle w:val="TOC2"/>
            <w:tabs>
              <w:tab w:val="clear" w:pos="708"/>
              <w:tab w:val="right" w:pos="9025" w:leader="dot"/>
            </w:tabs>
            <w:rPr/>
          </w:pPr>
          <w:hyperlink w:anchor="__RefHeading___Toc3097_3772494354">
            <w:r>
              <w:rPr>
                <w:rStyle w:val="IndexLink"/>
              </w:rPr>
              <w:t>10.4 Communication proactive</w:t>
              <w:tab/>
              <w:t>13</w:t>
            </w:r>
          </w:hyperlink>
        </w:p>
        <w:p>
          <w:pPr>
            <w:pStyle w:val="TOC2"/>
            <w:tabs>
              <w:tab w:val="clear" w:pos="708"/>
              <w:tab w:val="right" w:pos="9025" w:leader="dot"/>
            </w:tabs>
            <w:rPr/>
          </w:pPr>
          <w:hyperlink w:anchor="__RefHeading___Toc3099_3772494354">
            <w:r>
              <w:rPr>
                <w:rStyle w:val="IndexLink"/>
              </w:rPr>
              <w:t>10.5 Support utilisateur post-déploiement</w:t>
              <w:tab/>
              <w:t>13</w:t>
            </w:r>
          </w:hyperlink>
        </w:p>
        <w:p>
          <w:pPr>
            <w:pStyle w:val="TOC2"/>
            <w:tabs>
              <w:tab w:val="clear" w:pos="708"/>
              <w:tab w:val="right" w:pos="9025" w:leader="dot"/>
            </w:tabs>
            <w:rPr/>
          </w:pPr>
          <w:hyperlink w:anchor="__RefHeading___Toc3101_3772494354">
            <w:r>
              <w:rPr>
                <w:rStyle w:val="IndexLink"/>
              </w:rPr>
              <w:t>10.6 Modèle de ticket</w:t>
              <w:tab/>
              <w:t>13</w:t>
            </w:r>
          </w:hyperlink>
          <w:r>
            <w:rPr>
              <w:rStyle w:val="IndexLink"/>
            </w:rPr>
            <w:fldChar w:fldCharType="end"/>
          </w:r>
        </w:p>
        <w:p>
          <w:pPr>
            <w:sectPr>
              <w:type w:val="nextPage"/>
              <w:pgSz w:w="11906" w:h="16838"/>
              <w:pgMar w:left="1440" w:right="1440" w:gutter="0" w:header="0" w:top="1440" w:footer="0" w:bottom="1440"/>
              <w:pgNumType w:fmt="decimal"/>
              <w:formProt w:val="false"/>
              <w:textDirection w:val="lrTb"/>
              <w:docGrid w:type="default" w:linePitch="360" w:charSpace="0"/>
            </w:sectPr>
          </w:pPr>
          <w:r>
            <w:br w:type="page"/>
          </w:r>
        </w:p>
      </w:sdtContent>
    </w:sdt>
    <w:p>
      <w:pPr>
        <w:pStyle w:val="Heading1"/>
        <w:keepNext w:val="true"/>
        <w:keepLines/>
        <w:spacing w:before="0" w:after="180"/>
        <w:jc w:val="left"/>
        <w:rPr/>
      </w:pPr>
      <w:bookmarkStart w:id="1" w:name="__RefHeading___Toc3033_3772494354"/>
      <w:bookmarkStart w:id="2" w:name="_Toc235035879"/>
      <w:bookmarkEnd w:id="1"/>
      <w:r>
        <w:rPr>
          <w:rFonts w:eastAsia="Calibri" w:cs="Calibri"/>
          <w:b/>
          <w:bCs/>
          <w:color w:val="17365D"/>
          <w:sz w:val="34"/>
          <w:lang w:val="fr-FR" w:eastAsia="fr-FR"/>
        </w:rPr>
        <w:t>1. Introduction</w:t>
      </w:r>
      <w:bookmarkEnd w:id="2"/>
    </w:p>
    <w:p>
      <w:pPr>
        <w:pStyle w:val="Heading2"/>
        <w:keepNext w:val="true"/>
        <w:keepLines/>
        <w:spacing w:before="180" w:after="80"/>
        <w:jc w:val="left"/>
        <w:rPr/>
      </w:pPr>
      <w:bookmarkStart w:id="3" w:name="__RefHeading___Toc3035_3772494354"/>
      <w:bookmarkStart w:id="4" w:name="_Toc235035880"/>
      <w:bookmarkEnd w:id="3"/>
      <w:r>
        <w:rPr>
          <w:rFonts w:eastAsia="Calibri" w:cs="Calibri"/>
          <w:b/>
          <w:bCs/>
          <w:color w:val="2E75B6"/>
          <w:sz w:val="25"/>
          <w:lang w:val="fr-FR" w:eastAsia="fr-FR"/>
        </w:rPr>
        <w:t>1.1 Description du projet</w:t>
      </w:r>
      <w:bookmarkEnd w:id="4"/>
    </w:p>
    <w:p>
      <w:pPr>
        <w:pStyle w:val="Normal"/>
        <w:widowControl/>
        <w:spacing w:lineRule="auto" w:line="259" w:before="0" w:after="100"/>
        <w:jc w:val="both"/>
        <w:rPr/>
      </w:pPr>
      <w:r>
        <w:rPr>
          <w:rFonts w:eastAsia="Calibri" w:cs="Calibri"/>
          <w:color w:val="24313C"/>
          <w:sz w:val="21"/>
          <w:lang w:val="fr-FR" w:eastAsia="fr-FR"/>
        </w:rPr>
        <w:t>Le projet « Helpdesk Atlas » consiste à concevoir, déployer et prouver un portail de tickets interne de type GLPI pour une PME fictive (Atlas), associé à un Plan de Reprise d'Activité (PRA/DR) réellement mesuré. Le sujet, rédigé par M. DANNOUNE Mohamed-Amine dans le cadre du Master 1 IRS, impose deux exigences chiffrées non négociables : un RPO (Recovery Point Objective) inférieur ou égal à 20 minutes et un RTO (Recovery Time Objective) inférieur ou égal à 40 minutes, démontrés par des tests d'incidents réels et non simulés sur le papier.</w:t>
      </w:r>
    </w:p>
    <w:p>
      <w:pPr>
        <w:pStyle w:val="Normal"/>
        <w:widowControl/>
        <w:spacing w:lineRule="auto" w:line="259" w:before="0" w:after="100"/>
        <w:jc w:val="both"/>
        <w:rPr/>
      </w:pPr>
      <w:r>
        <w:rPr>
          <w:rFonts w:eastAsia="Calibri" w:cs="Calibri"/>
          <w:color w:val="24313C"/>
          <w:sz w:val="21"/>
          <w:lang w:val="fr-FR" w:eastAsia="fr-FR"/>
        </w:rPr>
        <w:t>Contrainte forte du projet : l'infrastructure physique initialement prévue a été perdue en cours de réalisation. L'équipe a dû reconstruire l'intégralité de la plateforme sur une infrastructure cloud (2 serveurs dédiés OVH), ce qui constitue à la fois une contrainte subie et un argument de démonstration fort pour la soutenance (rejouabilité totale de la procédure de déploiement).</w:t>
      </w:r>
    </w:p>
    <w:p>
      <w:pPr>
        <w:pStyle w:val="Normal"/>
        <w:widowControl/>
        <w:spacing w:lineRule="auto" w:line="259" w:before="0" w:after="100"/>
        <w:jc w:val="both"/>
        <w:rPr/>
      </w:pPr>
      <w:r>
        <w:rPr>
          <w:rFonts w:eastAsia="Calibri" w:cs="Calibri"/>
          <w:color w:val="24313C"/>
          <w:sz w:val="21"/>
          <w:lang w:val="fr-FR" w:eastAsia="fr-FR"/>
        </w:rPr>
        <w:t>Le projet est structuré autour de neuf livrables documentaires (dossier d'architecture, runbooks PRA, matrice de risques, dossier supervision, journal de preuves, support de soutenance, réponse aux exigences client, guide utilisateur, plan de transfert de compétences) et d'un ajout explicitement demandé par l'encadrant : but, budget et ressources.</w:t>
      </w:r>
    </w:p>
    <w:p>
      <w:pPr>
        <w:pStyle w:val="Heading2"/>
        <w:keepNext w:val="true"/>
        <w:keepLines/>
        <w:spacing w:before="180" w:after="80"/>
        <w:jc w:val="left"/>
        <w:rPr/>
      </w:pPr>
      <w:bookmarkStart w:id="5" w:name="__RefHeading___Toc3037_3772494354"/>
      <w:bookmarkStart w:id="6" w:name="_Toc235035881"/>
      <w:bookmarkEnd w:id="5"/>
      <w:r>
        <w:rPr>
          <w:rFonts w:eastAsia="Calibri" w:cs="Calibri"/>
          <w:b/>
          <w:bCs/>
          <w:color w:val="2E75B6"/>
          <w:sz w:val="25"/>
          <w:lang w:val="fr-FR" w:eastAsia="fr-FR"/>
        </w:rPr>
        <w:t>1.2 Contexte du projet</w:t>
      </w:r>
      <w:bookmarkEnd w:id="6"/>
    </w:p>
    <w:p>
      <w:pPr>
        <w:pStyle w:val="Heading3"/>
        <w:keepNext w:val="true"/>
        <w:spacing w:before="100" w:after="20"/>
        <w:jc w:val="left"/>
        <w:rPr/>
      </w:pPr>
      <w:r>
        <w:rPr>
          <w:rFonts w:eastAsia="Calibri" w:cs="Calibri"/>
          <w:b/>
          <w:bCs/>
          <w:color w:val="17365D"/>
          <w:sz w:val="21"/>
          <w:lang w:val="fr-FR" w:eastAsia="fr-FR"/>
        </w:rPr>
        <w:t>Qui ?</w:t>
      </w:r>
    </w:p>
    <w:p>
      <w:pPr>
        <w:pStyle w:val="ListParagraph"/>
        <w:widowControl/>
        <w:numPr>
          <w:ilvl w:val="0"/>
          <w:numId w:val="66"/>
        </w:numPr>
        <w:spacing w:lineRule="auto" w:line="247" w:before="0" w:after="40"/>
        <w:ind w:hanging="142" w:left="312"/>
        <w:jc w:val="left"/>
        <w:rPr/>
      </w:pPr>
      <w:r>
        <w:rPr>
          <w:rFonts w:eastAsia="Calibri" w:cs="Calibri"/>
          <w:color w:val="24313C"/>
          <w:sz w:val="21"/>
          <w:lang w:val="fr-FR" w:eastAsia="fr-FR"/>
        </w:rPr>
        <w:t>Initiateur du sujet : M. DANNOUNE Mohamed-Amine (Master 1 IRS).</w:t>
      </w:r>
    </w:p>
    <w:p>
      <w:pPr>
        <w:pStyle w:val="ListParagraph"/>
        <w:widowControl/>
        <w:numPr>
          <w:ilvl w:val="0"/>
          <w:numId w:val="67"/>
        </w:numPr>
        <w:spacing w:lineRule="auto" w:line="247" w:before="0" w:after="40"/>
        <w:ind w:hanging="142" w:left="312"/>
        <w:jc w:val="left"/>
        <w:rPr/>
      </w:pPr>
      <w:r>
        <w:rPr>
          <w:rFonts w:eastAsia="Calibri" w:cs="Calibri"/>
          <w:color w:val="24313C"/>
          <w:sz w:val="21"/>
          <w:lang w:val="fr-FR" w:eastAsia="fr-FR"/>
        </w:rPr>
        <w:t>Porteurs du projet : équipe de trois étudiants - Harry et Quentin (infrastructure, PRA et tests) ; Thibault (pilotage du projet, documentation et coordination des livrables).</w:t>
      </w:r>
    </w:p>
    <w:p>
      <w:pPr>
        <w:pStyle w:val="ListParagraph"/>
        <w:widowControl/>
        <w:numPr>
          <w:ilvl w:val="0"/>
          <w:numId w:val="68"/>
        </w:numPr>
        <w:spacing w:lineRule="auto" w:line="247" w:before="0" w:after="40"/>
        <w:ind w:hanging="142" w:left="312"/>
        <w:jc w:val="left"/>
        <w:rPr/>
      </w:pPr>
      <w:r>
        <w:rPr>
          <w:rFonts w:eastAsia="Calibri" w:cs="Calibri"/>
          <w:color w:val="24313C"/>
          <w:sz w:val="21"/>
          <w:lang w:val="fr-FR" w:eastAsia="fr-FR"/>
        </w:rPr>
        <w:t>Client fictif : PME Atlas, dont les employés utiliseront le portail de tickets.</w:t>
      </w:r>
    </w:p>
    <w:p>
      <w:pPr>
        <w:pStyle w:val="ListParagraph"/>
        <w:widowControl/>
        <w:numPr>
          <w:ilvl w:val="0"/>
          <w:numId w:val="69"/>
        </w:numPr>
        <w:spacing w:lineRule="auto" w:line="247" w:before="0" w:after="40"/>
        <w:ind w:hanging="142" w:left="312"/>
        <w:jc w:val="left"/>
        <w:rPr/>
      </w:pPr>
      <w:r>
        <w:rPr>
          <w:rFonts w:eastAsia="Calibri" w:cs="Calibri"/>
          <w:color w:val="24313C"/>
          <w:sz w:val="21"/>
          <w:lang w:val="fr-FR" w:eastAsia="fr-FR"/>
        </w:rPr>
        <w:t>Jury de soutenance : l'encadrant technique (Kalla) et un intervenant non technique jouant le rôle de représentant du client.</w:t>
      </w:r>
    </w:p>
    <w:p>
      <w:pPr>
        <w:pStyle w:val="Heading3"/>
        <w:keepNext w:val="true"/>
        <w:spacing w:before="100" w:after="20"/>
        <w:jc w:val="left"/>
        <w:rPr/>
      </w:pPr>
      <w:r>
        <w:rPr>
          <w:rFonts w:eastAsia="Calibri" w:cs="Calibri"/>
          <w:b/>
          <w:bCs/>
          <w:color w:val="17365D"/>
          <w:sz w:val="21"/>
          <w:lang w:val="fr-FR" w:eastAsia="fr-FR"/>
        </w:rPr>
        <w:t>Quoi ?</w:t>
      </w:r>
    </w:p>
    <w:p>
      <w:pPr>
        <w:pStyle w:val="ListParagraph"/>
        <w:widowControl/>
        <w:numPr>
          <w:ilvl w:val="0"/>
          <w:numId w:val="70"/>
        </w:numPr>
        <w:spacing w:lineRule="auto" w:line="247" w:before="0" w:after="40"/>
        <w:ind w:hanging="142" w:left="312"/>
        <w:jc w:val="left"/>
        <w:rPr/>
      </w:pPr>
      <w:r>
        <w:rPr>
          <w:rFonts w:eastAsia="Calibri" w:cs="Calibri"/>
          <w:color w:val="24313C"/>
          <w:sz w:val="21"/>
          <w:lang w:val="fr-FR" w:eastAsia="fr-FR"/>
        </w:rPr>
        <w:t>Déploiement d'un portail de tickets GLPI avec pièces jointes et notifications par e-mail.</w:t>
      </w:r>
    </w:p>
    <w:p>
      <w:pPr>
        <w:pStyle w:val="ListParagraph"/>
        <w:widowControl/>
        <w:numPr>
          <w:ilvl w:val="0"/>
          <w:numId w:val="71"/>
        </w:numPr>
        <w:spacing w:lineRule="auto" w:line="247" w:before="0" w:after="40"/>
        <w:ind w:hanging="142" w:left="312"/>
        <w:jc w:val="left"/>
        <w:rPr/>
      </w:pPr>
      <w:r>
        <w:rPr>
          <w:rFonts w:eastAsia="Calibri" w:cs="Calibri"/>
          <w:color w:val="24313C"/>
          <w:sz w:val="21"/>
          <w:lang w:val="fr-FR" w:eastAsia="fr-FR"/>
        </w:rPr>
        <w:t>Mise en place d'une supervision (Zabbix) et de sauvegardes vérifiées (Proxmox Backup Server).</w:t>
      </w:r>
    </w:p>
    <w:p>
      <w:pPr>
        <w:pStyle w:val="ListParagraph"/>
        <w:widowControl/>
        <w:numPr>
          <w:ilvl w:val="0"/>
          <w:numId w:val="72"/>
        </w:numPr>
        <w:spacing w:lineRule="auto" w:line="247" w:before="0" w:after="40"/>
        <w:ind w:hanging="142" w:left="312"/>
        <w:jc w:val="left"/>
        <w:rPr/>
      </w:pPr>
      <w:r>
        <w:rPr>
          <w:rFonts w:eastAsia="Calibri" w:cs="Calibri"/>
          <w:color w:val="24313C"/>
          <w:sz w:val="21"/>
          <w:lang w:val="fr-FR" w:eastAsia="fr-FR"/>
        </w:rPr>
        <w:t>Démonstration chronométrée de deux incidents : perte de stockage primaire (restauration complète) et suppression massive de tickets (restauration granulaire à un instant donné (point-in-time)).</w:t>
      </w:r>
    </w:p>
    <w:p>
      <w:pPr>
        <w:pStyle w:val="Heading3"/>
        <w:keepNext w:val="true"/>
        <w:spacing w:before="100" w:after="20"/>
        <w:jc w:val="left"/>
        <w:rPr/>
      </w:pPr>
      <w:r>
        <w:rPr>
          <w:rFonts w:eastAsia="Calibri" w:cs="Calibri"/>
          <w:b/>
          <w:bCs/>
          <w:color w:val="17365D"/>
          <w:sz w:val="21"/>
          <w:lang w:val="fr-FR" w:eastAsia="fr-FR"/>
        </w:rPr>
        <w:t>Où ?</w:t>
      </w:r>
    </w:p>
    <w:p>
      <w:pPr>
        <w:pStyle w:val="ListParagraph"/>
        <w:widowControl/>
        <w:numPr>
          <w:ilvl w:val="0"/>
          <w:numId w:val="73"/>
        </w:numPr>
        <w:spacing w:lineRule="auto" w:line="247" w:before="0" w:after="40"/>
        <w:ind w:hanging="142" w:left="312"/>
        <w:jc w:val="left"/>
        <w:rPr/>
      </w:pPr>
      <w:r>
        <w:rPr>
          <w:rFonts w:eastAsia="Calibri" w:cs="Calibri"/>
          <w:color w:val="24313C"/>
          <w:sz w:val="21"/>
          <w:lang w:val="fr-FR" w:eastAsia="fr-FR"/>
        </w:rPr>
        <w:t>Sur un plateau virtualisé et segmenté : 2 serveurs dédiés OVH SYS-1 (datacenter eu-central-waw, Varsovie), reliés par un réseau privé vRack, organisés en cluster Proxmox VE avec témoin de quorum externe.</w:t>
      </w:r>
    </w:p>
    <w:p>
      <w:pPr>
        <w:pStyle w:val="Heading3"/>
        <w:keepNext w:val="true"/>
        <w:spacing w:before="100" w:after="20"/>
        <w:jc w:val="left"/>
        <w:rPr/>
      </w:pPr>
      <w:r>
        <w:rPr>
          <w:rFonts w:eastAsia="Calibri" w:cs="Calibri"/>
          <w:b/>
          <w:bCs/>
          <w:color w:val="17365D"/>
          <w:sz w:val="21"/>
          <w:lang w:val="fr-FR" w:eastAsia="fr-FR"/>
        </w:rPr>
        <w:t>Pourquoi ?</w:t>
      </w:r>
    </w:p>
    <w:p>
      <w:pPr>
        <w:pStyle w:val="ListParagraph"/>
        <w:widowControl/>
        <w:numPr>
          <w:ilvl w:val="0"/>
          <w:numId w:val="74"/>
        </w:numPr>
        <w:spacing w:lineRule="auto" w:line="247" w:before="0" w:after="40"/>
        <w:ind w:hanging="142" w:left="312"/>
        <w:jc w:val="left"/>
        <w:rPr/>
      </w:pPr>
      <w:r>
        <w:rPr>
          <w:rFonts w:eastAsia="Calibri" w:cs="Calibri"/>
          <w:color w:val="24313C"/>
          <w:sz w:val="21"/>
          <w:lang w:val="fr-FR" w:eastAsia="fr-FR"/>
        </w:rPr>
        <w:t>Exigence pédagogique : prouver, mesures à l'appui, qu'un PRA/DR annoncé est un PRA/DR tenu.</w:t>
      </w:r>
    </w:p>
    <w:p>
      <w:pPr>
        <w:pStyle w:val="ListParagraph"/>
        <w:widowControl/>
        <w:numPr>
          <w:ilvl w:val="0"/>
          <w:numId w:val="75"/>
        </w:numPr>
        <w:spacing w:lineRule="auto" w:line="247" w:before="0" w:after="40"/>
        <w:ind w:hanging="142" w:left="312"/>
        <w:jc w:val="left"/>
        <w:rPr/>
      </w:pPr>
      <w:r>
        <w:rPr>
          <w:rFonts w:eastAsia="Calibri" w:cs="Calibri"/>
          <w:color w:val="24313C"/>
          <w:sz w:val="21"/>
          <w:lang w:val="fr-FR" w:eastAsia="fr-FR"/>
        </w:rPr>
        <w:t>Contrainte réelle vécue : la perte de l'infrastructure physique initiale a imposé une reconstruction complète sur infrastructure cloud, dans les mêmes délais.</w:t>
      </w:r>
    </w:p>
    <w:p>
      <w:pPr>
        <w:pStyle w:val="Heading3"/>
        <w:keepNext w:val="true"/>
        <w:spacing w:before="100" w:after="20"/>
        <w:jc w:val="left"/>
        <w:rPr/>
      </w:pPr>
      <w:r>
        <w:rPr>
          <w:rFonts w:eastAsia="Calibri" w:cs="Calibri"/>
          <w:b/>
          <w:bCs/>
          <w:color w:val="17365D"/>
          <w:sz w:val="21"/>
          <w:lang w:val="fr-FR" w:eastAsia="fr-FR"/>
        </w:rPr>
        <w:t>Comment ?</w:t>
      </w:r>
    </w:p>
    <w:p>
      <w:pPr>
        <w:pStyle w:val="ListParagraph"/>
        <w:widowControl/>
        <w:numPr>
          <w:ilvl w:val="0"/>
          <w:numId w:val="76"/>
        </w:numPr>
        <w:spacing w:lineRule="auto" w:line="247" w:before="0" w:after="40"/>
        <w:ind w:hanging="142" w:left="312"/>
        <w:jc w:val="left"/>
        <w:rPr/>
      </w:pPr>
      <w:r>
        <w:rPr>
          <w:rFonts w:eastAsia="Calibri" w:cs="Calibri"/>
          <w:color w:val="24313C"/>
          <w:sz w:val="21"/>
          <w:lang w:val="fr-FR" w:eastAsia="fr-FR"/>
        </w:rPr>
        <w:t>Cadrage des exigences client (Partie B du sujet) et rédaction du référentiel d'exigences.</w:t>
      </w:r>
    </w:p>
    <w:p>
      <w:pPr>
        <w:pStyle w:val="ListParagraph"/>
        <w:widowControl/>
        <w:numPr>
          <w:ilvl w:val="0"/>
          <w:numId w:val="77"/>
        </w:numPr>
        <w:spacing w:lineRule="auto" w:line="247" w:before="0" w:after="40"/>
        <w:ind w:hanging="142" w:left="312"/>
        <w:jc w:val="left"/>
        <w:rPr/>
      </w:pPr>
      <w:r>
        <w:rPr>
          <w:rFonts w:eastAsia="Calibri" w:cs="Calibri"/>
          <w:color w:val="24313C"/>
          <w:sz w:val="21"/>
          <w:lang w:val="fr-FR" w:eastAsia="fr-FR"/>
        </w:rPr>
        <w:t>Conception de l'architecture réseau segmentée (zones MGMT / DMZ / ADMIN en VLAN 90/20/30).</w:t>
      </w:r>
    </w:p>
    <w:p>
      <w:pPr>
        <w:pStyle w:val="ListParagraph"/>
        <w:widowControl/>
        <w:numPr>
          <w:ilvl w:val="0"/>
          <w:numId w:val="78"/>
        </w:numPr>
        <w:spacing w:lineRule="auto" w:line="247" w:before="0" w:after="40"/>
        <w:ind w:hanging="142" w:left="312"/>
        <w:jc w:val="left"/>
        <w:rPr/>
      </w:pPr>
      <w:r>
        <w:rPr>
          <w:rFonts w:eastAsia="Calibri" w:cs="Calibri"/>
          <w:color w:val="24313C"/>
          <w:sz w:val="21"/>
          <w:lang w:val="fr-FR" w:eastAsia="fr-FR"/>
        </w:rPr>
        <w:t>Déploiement itératif des services : DNS, base de données, portail GLPI, relais SMTP, reverse proxy TLS, VPN d'administration, supervision, sauvegardes.</w:t>
      </w:r>
    </w:p>
    <w:p>
      <w:pPr>
        <w:pStyle w:val="ListParagraph"/>
        <w:widowControl/>
        <w:numPr>
          <w:ilvl w:val="0"/>
          <w:numId w:val="79"/>
        </w:numPr>
        <w:spacing w:lineRule="auto" w:line="247" w:before="0" w:after="40"/>
        <w:ind w:hanging="142" w:left="312"/>
        <w:jc w:val="left"/>
        <w:rPr/>
      </w:pPr>
      <w:r>
        <w:rPr>
          <w:rFonts w:eastAsia="Calibri" w:cs="Calibri"/>
          <w:color w:val="24313C"/>
          <w:sz w:val="21"/>
          <w:lang w:val="fr-FR" w:eastAsia="fr-FR"/>
        </w:rPr>
        <w:t>Tests d'incidents chronométrés, runbooks rejoués par un non-auteur, journal de preuves horodaté.</w:t>
      </w:r>
    </w:p>
    <w:p>
      <w:pPr>
        <w:pStyle w:val="ListParagraph"/>
        <w:widowControl/>
        <w:numPr>
          <w:ilvl w:val="0"/>
          <w:numId w:val="80"/>
        </w:numPr>
        <w:spacing w:lineRule="auto" w:line="247" w:before="0" w:after="40"/>
        <w:ind w:hanging="142" w:left="312"/>
        <w:jc w:val="left"/>
        <w:rPr/>
      </w:pPr>
      <w:r>
        <w:rPr>
          <w:rFonts w:eastAsia="Calibri" w:cs="Calibri"/>
          <w:color w:val="24313C"/>
          <w:sz w:val="21"/>
          <w:lang w:val="fr-FR" w:eastAsia="fr-FR"/>
        </w:rPr>
        <w:t>Transfert de compétences interne (chaque membre doit pouvoir tout présenter) puis répétitions de soutenance.</w:t>
      </w:r>
    </w:p>
    <w:p>
      <w:pPr>
        <w:pStyle w:val="Heading1"/>
        <w:keepNext w:val="true"/>
        <w:keepLines/>
        <w:spacing w:before="0" w:after="180"/>
        <w:jc w:val="left"/>
        <w:rPr/>
      </w:pPr>
      <w:bookmarkStart w:id="7" w:name="__RefHeading___Toc3039_3772494354"/>
      <w:bookmarkStart w:id="8" w:name="_Toc235035882"/>
      <w:bookmarkEnd w:id="7"/>
      <w:r>
        <w:rPr>
          <w:rFonts w:eastAsia="Calibri" w:cs="Calibri"/>
          <w:b/>
          <w:bCs/>
          <w:color w:val="17365D"/>
          <w:sz w:val="34"/>
          <w:lang w:val="fr-FR" w:eastAsia="fr-FR"/>
        </w:rPr>
        <w:t>2. Analyse de l'existant</w:t>
      </w:r>
      <w:bookmarkEnd w:id="8"/>
    </w:p>
    <w:p>
      <w:pPr>
        <w:pStyle w:val="Heading2"/>
        <w:keepNext w:val="true"/>
        <w:keepLines/>
        <w:spacing w:before="180" w:after="80"/>
        <w:jc w:val="left"/>
        <w:rPr/>
      </w:pPr>
      <w:bookmarkStart w:id="9" w:name="__RefHeading___Toc3041_3772494354"/>
      <w:bookmarkStart w:id="10" w:name="_Toc235035883"/>
      <w:bookmarkEnd w:id="9"/>
      <w:r>
        <w:rPr>
          <w:rFonts w:eastAsia="Calibri" w:cs="Calibri"/>
          <w:b/>
          <w:bCs/>
          <w:color w:val="2E75B6"/>
          <w:sz w:val="25"/>
          <w:lang w:val="fr-FR" w:eastAsia="fr-FR"/>
        </w:rPr>
        <w:t>2.1 Analyse SWOT</w:t>
      </w:r>
      <w:bookmarkEnd w:id="10"/>
    </w:p>
    <w:tbl>
      <w:tblPr>
        <w:tblW w:w="10200" w:type="dxa"/>
        <w:jc w:val="left"/>
        <w:tblInd w:w="0" w:type="dxa"/>
        <w:tblLayout w:type="fixed"/>
        <w:tblCellMar>
          <w:top w:w="70" w:type="dxa"/>
          <w:left w:w="90" w:type="dxa"/>
          <w:bottom w:w="70" w:type="dxa"/>
          <w:right w:w="90" w:type="dxa"/>
        </w:tblCellMar>
        <w:tblLook w:val="04a0" w:noHBand="0" w:noVBand="1" w:firstColumn="1" w:lastRow="0" w:lastColumn="0" w:firstRow="1"/>
      </w:tblPr>
      <w:tblGrid>
        <w:gridCol w:w="822"/>
        <w:gridCol w:w="4970"/>
        <w:gridCol w:w="4408"/>
      </w:tblGrid>
      <w:tr>
        <w:trPr>
          <w:tblHeader w:val="true"/>
          <w:cantSplit w:val="true"/>
        </w:trPr>
        <w:tc>
          <w:tcPr>
            <w:tcW w:w="822" w:type="dxa"/>
            <w:tcBorders>
              <w:top w:val="single" w:sz="6" w:space="0" w:color="AAB7C4"/>
              <w:left w:val="single" w:sz="6" w:space="0" w:color="AAB7C4"/>
              <w:bottom w:val="single" w:sz="6" w:space="0" w:color="AAB7C4"/>
              <w:right w:val="single" w:sz="6" w:space="0" w:color="AAB7C4"/>
            </w:tcBorders>
            <w:shd w:color="auto" w:fill="17365D" w:val="clear"/>
            <w:vAlign w:val="center"/>
          </w:tcPr>
          <w:p>
            <w:pPr>
              <w:pStyle w:val="Normal"/>
              <w:spacing w:lineRule="auto" w:line="240" w:before="0" w:after="0"/>
              <w:jc w:val="left"/>
              <w:rPr/>
            </w:pPr>
            <w:r>
              <w:rPr/>
            </w:r>
          </w:p>
        </w:tc>
        <w:tc>
          <w:tcPr>
            <w:tcW w:w="4970" w:type="dxa"/>
            <w:tcBorders>
              <w:top w:val="single" w:sz="6" w:space="0" w:color="AAB7C4"/>
              <w:left w:val="single" w:sz="6" w:space="0" w:color="AAB7C4"/>
              <w:bottom w:val="single" w:sz="6" w:space="0" w:color="AAB7C4"/>
              <w:right w:val="single" w:sz="6" w:space="0" w:color="AAB7C4"/>
            </w:tcBorders>
            <w:shd w:color="auto" w:fill="17365D" w:val="clear"/>
            <w:vAlign w:val="center"/>
          </w:tcPr>
          <w:p>
            <w:pPr>
              <w:pStyle w:val="Normal"/>
              <w:spacing w:lineRule="auto" w:line="240" w:before="0" w:after="0"/>
              <w:jc w:val="left"/>
              <w:rPr/>
            </w:pPr>
            <w:r>
              <w:rPr>
                <w:rFonts w:eastAsia="Calibri" w:cs="Calibri"/>
                <w:b/>
                <w:bCs/>
                <w:color w:val="FFFFFF"/>
                <w:sz w:val="17"/>
              </w:rPr>
              <w:t>Positif</w:t>
            </w:r>
          </w:p>
        </w:tc>
        <w:tc>
          <w:tcPr>
            <w:tcW w:w="4408" w:type="dxa"/>
            <w:tcBorders>
              <w:top w:val="single" w:sz="6" w:space="0" w:color="AAB7C4"/>
              <w:left w:val="single" w:sz="6" w:space="0" w:color="AAB7C4"/>
              <w:bottom w:val="single" w:sz="6" w:space="0" w:color="AAB7C4"/>
              <w:right w:val="single" w:sz="6" w:space="0" w:color="AAB7C4"/>
            </w:tcBorders>
            <w:shd w:color="auto" w:fill="17365D" w:val="clear"/>
            <w:vAlign w:val="center"/>
          </w:tcPr>
          <w:p>
            <w:pPr>
              <w:pStyle w:val="Normal"/>
              <w:spacing w:lineRule="auto" w:line="240" w:before="0" w:after="0"/>
              <w:jc w:val="left"/>
              <w:rPr/>
            </w:pPr>
            <w:r>
              <w:rPr>
                <w:rFonts w:eastAsia="Calibri" w:cs="Calibri"/>
                <w:b/>
                <w:bCs/>
                <w:color w:val="FFFFFF"/>
                <w:sz w:val="17"/>
              </w:rPr>
              <w:t>Négatif</w:t>
            </w:r>
          </w:p>
        </w:tc>
      </w:tr>
      <w:tr>
        <w:trPr>
          <w:cantSplit w:val="true"/>
        </w:trPr>
        <w:tc>
          <w:tcPr>
            <w:tcW w:w="822" w:type="dxa"/>
            <w:tcBorders>
              <w:top w:val="single" w:sz="6" w:space="0" w:color="AAB7C4"/>
              <w:left w:val="single" w:sz="6" w:space="0" w:color="AAB7C4"/>
              <w:bottom w:val="single" w:sz="6" w:space="0" w:color="AAB7C4"/>
              <w:right w:val="single" w:sz="6" w:space="0" w:color="AAB7C4"/>
            </w:tcBorders>
            <w:shd w:fill="DDEBF7" w:val="clear"/>
            <w:vAlign w:val="center"/>
          </w:tcPr>
          <w:p>
            <w:pPr>
              <w:pStyle w:val="Normal"/>
              <w:spacing w:lineRule="auto" w:line="240" w:before="0" w:after="0"/>
              <w:jc w:val="left"/>
              <w:rPr/>
            </w:pPr>
            <w:r>
              <w:rPr>
                <w:rFonts w:eastAsia="Calibri" w:cs="Calibri"/>
                <w:b/>
                <w:color w:val="24313C"/>
                <w:sz w:val="17"/>
              </w:rPr>
              <w:t>Interne</w:t>
            </w:r>
          </w:p>
        </w:tc>
        <w:tc>
          <w:tcPr>
            <w:tcW w:w="4970"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Équipe de 3 avec répartition claire des rôles ; solution 100 % open source (0 € de licence) ; expérience concrète acquise du pivot vers le cloud</w:t>
            </w:r>
          </w:p>
        </w:tc>
        <w:tc>
          <w:tcPr>
            <w:tcW w:w="4408"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Bascule DR manuelle (pas de haute disponibilité automatique) ; Point unique de défaillance (SPOF) assumé au niveau du pare-feu (fw01) ; délai contraint (≈ 3 semaines)</w:t>
            </w:r>
          </w:p>
        </w:tc>
      </w:tr>
      <w:tr>
        <w:trPr>
          <w:cantSplit w:val="true"/>
        </w:trPr>
        <w:tc>
          <w:tcPr>
            <w:tcW w:w="822" w:type="dxa"/>
            <w:tcBorders>
              <w:top w:val="single" w:sz="6" w:space="0" w:color="AAB7C4"/>
              <w:left w:val="single" w:sz="6" w:space="0" w:color="AAB7C4"/>
              <w:bottom w:val="single" w:sz="6" w:space="0" w:color="AAB7C4"/>
              <w:right w:val="single" w:sz="6" w:space="0" w:color="AAB7C4"/>
            </w:tcBorders>
            <w:shd w:color="auto" w:fill="DDEBF7" w:val="clear"/>
            <w:vAlign w:val="center"/>
          </w:tcPr>
          <w:p>
            <w:pPr>
              <w:pStyle w:val="Normal"/>
              <w:spacing w:lineRule="auto" w:line="240" w:before="0" w:after="0"/>
              <w:jc w:val="left"/>
              <w:rPr/>
            </w:pPr>
            <w:r>
              <w:rPr>
                <w:rFonts w:eastAsia="Calibri" w:cs="Calibri"/>
                <w:b/>
                <w:color w:val="24313C"/>
                <w:sz w:val="17"/>
              </w:rPr>
              <w:t>Externe</w:t>
            </w:r>
          </w:p>
        </w:tc>
        <w:tc>
          <w:tcPr>
            <w:tcW w:w="4970"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Hébergement dans l'UE (RGPD), vRack privé inclus, comparatif des fournisseurs documenté (OVH retenu) ; démonstration concrète de résilience (infrastructure reconstruite après incident)</w:t>
            </w:r>
          </w:p>
        </w:tc>
        <w:tc>
          <w:tcPr>
            <w:tcW w:w="4408"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Dépendance à un fournisseur cloud unique (OVH) ; panne de centre de données non couverte par une copie hors site à ce stade ; calendrier de soutenance serré</w:t>
            </w:r>
          </w:p>
        </w:tc>
      </w:tr>
    </w:tbl>
    <w:p>
      <w:pPr>
        <w:pStyle w:val="Normal"/>
        <w:spacing w:before="200" w:after="100"/>
        <w:rPr/>
      </w:pPr>
      <w:r>
        <w:rPr/>
      </w:r>
    </w:p>
    <w:p>
      <w:pPr>
        <w:pStyle w:val="Heading2"/>
        <w:keepNext w:val="true"/>
        <w:keepLines/>
        <w:spacing w:before="180" w:after="80"/>
        <w:jc w:val="left"/>
        <w:rPr/>
      </w:pPr>
      <w:bookmarkStart w:id="11" w:name="__RefHeading___Toc3043_3772494354"/>
      <w:bookmarkStart w:id="12" w:name="_Toc235035884"/>
      <w:bookmarkEnd w:id="11"/>
      <w:r>
        <w:rPr>
          <w:rFonts w:eastAsia="Calibri" w:cs="Calibri"/>
          <w:b/>
          <w:bCs/>
          <w:color w:val="2E75B6"/>
          <w:sz w:val="25"/>
          <w:lang w:val="fr-FR" w:eastAsia="fr-FR"/>
        </w:rPr>
        <w:t>2.2 Points à clarifier avec le client</w:t>
      </w:r>
      <w:bookmarkEnd w:id="12"/>
    </w:p>
    <w:p>
      <w:pPr>
        <w:pStyle w:val="Normal"/>
        <w:widowControl/>
        <w:spacing w:lineRule="auto" w:line="259" w:before="0" w:after="100"/>
        <w:jc w:val="both"/>
        <w:rPr/>
      </w:pPr>
      <w:r>
        <w:rPr>
          <w:rFonts w:eastAsia="Calibri" w:cs="Calibri"/>
          <w:color w:val="24313C"/>
          <w:sz w:val="21"/>
          <w:lang w:val="fr-FR" w:eastAsia="fr-FR"/>
        </w:rPr>
        <w:t>Questions qui seraient posées à un client réel avant de figer le périmètre :</w:t>
      </w:r>
    </w:p>
    <w:p>
      <w:pPr>
        <w:pStyle w:val="ListParagraph"/>
        <w:widowControl/>
        <w:numPr>
          <w:ilvl w:val="0"/>
          <w:numId w:val="81"/>
        </w:numPr>
        <w:spacing w:lineRule="auto" w:line="247" w:before="0" w:after="40"/>
        <w:ind w:hanging="142" w:left="312"/>
        <w:jc w:val="left"/>
        <w:rPr/>
      </w:pPr>
      <w:r>
        <w:rPr>
          <w:rFonts w:eastAsia="Calibri" w:cs="Calibri"/>
          <w:color w:val="24313C"/>
          <w:sz w:val="21"/>
          <w:lang w:val="fr-FR" w:eastAsia="fr-FR"/>
        </w:rPr>
        <w:t>Quel est le volume réel d'utilisateurs et de tickets attendu en production, pour dimensionner correctement la plateforme ?</w:t>
      </w:r>
    </w:p>
    <w:p>
      <w:pPr>
        <w:pStyle w:val="ListParagraph"/>
        <w:widowControl/>
        <w:numPr>
          <w:ilvl w:val="0"/>
          <w:numId w:val="82"/>
        </w:numPr>
        <w:spacing w:lineRule="auto" w:line="247" w:before="0" w:after="40"/>
        <w:ind w:hanging="142" w:left="312"/>
        <w:jc w:val="left"/>
        <w:rPr/>
      </w:pPr>
      <w:r>
        <w:rPr>
          <w:rFonts w:eastAsia="Calibri" w:cs="Calibri"/>
          <w:color w:val="24313C"/>
          <w:sz w:val="21"/>
          <w:lang w:val="fr-FR" w:eastAsia="fr-FR"/>
        </w:rPr>
        <w:t>Le client dispose-t-il d'un nom de domaine réel et d'un relais SMTP existant à intégrer, ou faut-il les prévoir intégralement ?</w:t>
      </w:r>
    </w:p>
    <w:p>
      <w:pPr>
        <w:pStyle w:val="ListParagraph"/>
        <w:widowControl/>
        <w:numPr>
          <w:ilvl w:val="0"/>
          <w:numId w:val="83"/>
        </w:numPr>
        <w:spacing w:lineRule="auto" w:line="247" w:before="0" w:after="40"/>
        <w:ind w:hanging="142" w:left="312"/>
        <w:jc w:val="left"/>
        <w:rPr/>
      </w:pPr>
      <w:r>
        <w:rPr>
          <w:rFonts w:eastAsia="Calibri" w:cs="Calibri"/>
          <w:color w:val="24313C"/>
          <w:sz w:val="21"/>
          <w:lang w:val="fr-FR" w:eastAsia="fr-FR"/>
        </w:rPr>
        <w:t>Quel est le niveau d'exigence réel sur la disponibilité au-delà du RTO 40 minutes (bascule automatique type CARP, cluster applicatif) ?</w:t>
      </w:r>
    </w:p>
    <w:p>
      <w:pPr>
        <w:pStyle w:val="ListParagraph"/>
        <w:widowControl/>
        <w:numPr>
          <w:ilvl w:val="0"/>
          <w:numId w:val="84"/>
        </w:numPr>
        <w:spacing w:lineRule="auto" w:line="247" w:before="0" w:after="40"/>
        <w:ind w:hanging="142" w:left="312"/>
        <w:jc w:val="left"/>
        <w:rPr/>
      </w:pPr>
      <w:r>
        <w:rPr>
          <w:rFonts w:eastAsia="Calibri" w:cs="Calibri"/>
          <w:color w:val="24313C"/>
          <w:sz w:val="21"/>
          <w:lang w:val="fr-FR" w:eastAsia="fr-FR"/>
        </w:rPr>
        <w:t>Une copie de sauvegarde hors site est-elle une exigence contractuelle ferme, ou une recommandation optionnelle ?</w:t>
      </w:r>
    </w:p>
    <w:p>
      <w:pPr>
        <w:pStyle w:val="ListParagraph"/>
        <w:widowControl/>
        <w:numPr>
          <w:ilvl w:val="0"/>
          <w:numId w:val="85"/>
        </w:numPr>
        <w:spacing w:lineRule="auto" w:line="247" w:before="0" w:after="40"/>
        <w:ind w:hanging="142" w:left="312"/>
        <w:jc w:val="left"/>
        <w:rPr/>
      </w:pPr>
      <w:r>
        <w:rPr>
          <w:rFonts w:eastAsia="Calibri" w:cs="Calibri"/>
          <w:color w:val="24313C"/>
          <w:sz w:val="21"/>
          <w:lang w:val="fr-FR" w:eastAsia="fr-FR"/>
        </w:rPr>
        <w:t>Quelles contraintes RGPD s'appliquent aux données réellement saisies dans les tickets (le POC utilise des données fictives) ?</w:t>
      </w:r>
    </w:p>
    <w:p>
      <w:pPr>
        <w:pStyle w:val="Normal"/>
        <w:rPr>
          <w:b/>
          <w:bCs/>
          <w:color w:val="1F3864"/>
          <w:sz w:val="32"/>
          <w:szCs w:val="32"/>
        </w:rPr>
      </w:pPr>
      <w:r>
        <w:rPr>
          <w:b/>
          <w:bCs/>
          <w:color w:val="1F3864"/>
          <w:sz w:val="32"/>
          <w:szCs w:val="32"/>
        </w:rPr>
      </w:r>
      <w:r>
        <w:br w:type="page"/>
      </w:r>
    </w:p>
    <w:p>
      <w:pPr>
        <w:pStyle w:val="Heading1"/>
        <w:keepNext w:val="true"/>
        <w:keepLines/>
        <w:spacing w:before="0" w:after="180"/>
        <w:jc w:val="left"/>
        <w:rPr/>
      </w:pPr>
      <w:bookmarkStart w:id="13" w:name="__RefHeading___Toc3045_3772494354"/>
      <w:bookmarkStart w:id="14" w:name="_Toc235035885"/>
      <w:bookmarkEnd w:id="13"/>
      <w:r>
        <w:rPr>
          <w:rFonts w:eastAsia="Calibri" w:cs="Calibri"/>
          <w:b/>
          <w:bCs/>
          <w:color w:val="17365D"/>
          <w:sz w:val="34"/>
          <w:lang w:val="fr-FR" w:eastAsia="fr-FR"/>
        </w:rPr>
        <w:t>3. Recueil et expression des besoins</w:t>
      </w:r>
      <w:bookmarkEnd w:id="14"/>
    </w:p>
    <w:p>
      <w:pPr>
        <w:pStyle w:val="Heading2"/>
        <w:keepNext w:val="true"/>
        <w:keepLines/>
        <w:spacing w:before="180" w:after="80"/>
        <w:jc w:val="left"/>
        <w:rPr/>
      </w:pPr>
      <w:bookmarkStart w:id="15" w:name="__RefHeading___Toc3047_3772494354"/>
      <w:bookmarkStart w:id="16" w:name="_Toc235035886"/>
      <w:bookmarkEnd w:id="15"/>
      <w:r>
        <w:rPr>
          <w:rFonts w:eastAsia="Calibri" w:cs="Calibri"/>
          <w:b/>
          <w:bCs/>
          <w:color w:val="2E75B6"/>
          <w:sz w:val="25"/>
          <w:lang w:val="fr-FR" w:eastAsia="fr-FR"/>
        </w:rPr>
        <w:t>3.1 Besoins identifiés</w:t>
      </w:r>
      <w:bookmarkEnd w:id="16"/>
    </w:p>
    <w:p>
      <w:pPr>
        <w:pStyle w:val="ListParagraph"/>
        <w:widowControl/>
        <w:numPr>
          <w:ilvl w:val="0"/>
          <w:numId w:val="86"/>
        </w:numPr>
        <w:spacing w:lineRule="auto" w:line="247" w:before="0" w:after="40"/>
        <w:ind w:hanging="142" w:left="312"/>
        <w:jc w:val="left"/>
        <w:rPr/>
      </w:pPr>
      <w:r>
        <w:rPr>
          <w:rFonts w:eastAsia="Calibri" w:cs="Calibri"/>
          <w:color w:val="24313C"/>
          <w:sz w:val="21"/>
          <w:lang w:val="fr-FR" w:eastAsia="fr-FR"/>
        </w:rPr>
        <w:t>Déployer un cluster Proxmox VE (2 nœuds) avec témoin de quorum externe (QDevice).</w:t>
      </w:r>
    </w:p>
    <w:p>
      <w:pPr>
        <w:pStyle w:val="ListParagraph"/>
        <w:widowControl/>
        <w:numPr>
          <w:ilvl w:val="0"/>
          <w:numId w:val="87"/>
        </w:numPr>
        <w:spacing w:lineRule="auto" w:line="247" w:before="0" w:after="40"/>
        <w:ind w:hanging="142" w:left="312"/>
        <w:jc w:val="left"/>
        <w:rPr/>
      </w:pPr>
      <w:r>
        <w:rPr>
          <w:rFonts w:eastAsia="Calibri" w:cs="Calibri"/>
          <w:color w:val="24313C"/>
          <w:sz w:val="21"/>
          <w:lang w:val="fr-FR" w:eastAsia="fr-FR"/>
        </w:rPr>
        <w:t>Segmenter le réseau en trois zones VLAN : MGMT (90), DMZ (20), ADMIN (30).</w:t>
      </w:r>
    </w:p>
    <w:p>
      <w:pPr>
        <w:pStyle w:val="ListParagraph"/>
        <w:widowControl/>
        <w:numPr>
          <w:ilvl w:val="0"/>
          <w:numId w:val="88"/>
        </w:numPr>
        <w:spacing w:lineRule="auto" w:line="247" w:before="0" w:after="40"/>
        <w:ind w:hanging="142" w:left="312"/>
        <w:jc w:val="left"/>
        <w:rPr/>
      </w:pPr>
      <w:r>
        <w:rPr>
          <w:rFonts w:eastAsia="Calibri" w:cs="Calibri"/>
          <w:color w:val="24313C"/>
          <w:sz w:val="21"/>
          <w:lang w:val="fr-FR" w:eastAsia="fr-FR"/>
        </w:rPr>
        <w:t>Mettre en place le pare-feu OPNsense et l'accès WAN public (Additional IP OVH).</w:t>
      </w:r>
    </w:p>
    <w:p>
      <w:pPr>
        <w:pStyle w:val="ListParagraph"/>
        <w:widowControl/>
        <w:numPr>
          <w:ilvl w:val="0"/>
          <w:numId w:val="89"/>
        </w:numPr>
        <w:spacing w:lineRule="auto" w:line="247" w:before="0" w:after="40"/>
        <w:ind w:hanging="142" w:left="312"/>
        <w:jc w:val="left"/>
        <w:rPr/>
      </w:pPr>
      <w:r>
        <w:rPr>
          <w:rFonts w:eastAsia="Calibri" w:cs="Calibri"/>
          <w:color w:val="24313C"/>
          <w:sz w:val="21"/>
          <w:lang w:val="fr-FR" w:eastAsia="fr-FR"/>
        </w:rPr>
        <w:t>Installer et durcir le portail de tickets GLPI (comptes par défaut désactivés, super-administrateur nominatif).</w:t>
      </w:r>
    </w:p>
    <w:p>
      <w:pPr>
        <w:pStyle w:val="ListParagraph"/>
        <w:widowControl/>
        <w:numPr>
          <w:ilvl w:val="0"/>
          <w:numId w:val="90"/>
        </w:numPr>
        <w:spacing w:lineRule="auto" w:line="247" w:before="0" w:after="40"/>
        <w:ind w:hanging="142" w:left="312"/>
        <w:jc w:val="left"/>
        <w:rPr/>
      </w:pPr>
      <w:r>
        <w:rPr>
          <w:rFonts w:eastAsia="Calibri" w:cs="Calibri"/>
          <w:color w:val="24313C"/>
          <w:sz w:val="21"/>
          <w:lang w:val="fr-FR" w:eastAsia="fr-FR"/>
        </w:rPr>
        <w:t>Configurer le relais SMTP interne pour les notifications de tickets.</w:t>
      </w:r>
    </w:p>
    <w:p>
      <w:pPr>
        <w:pStyle w:val="ListParagraph"/>
        <w:widowControl/>
        <w:numPr>
          <w:ilvl w:val="0"/>
          <w:numId w:val="91"/>
        </w:numPr>
        <w:spacing w:lineRule="auto" w:line="247" w:before="0" w:after="40"/>
        <w:ind w:hanging="142" w:left="312"/>
        <w:jc w:val="left"/>
        <w:rPr/>
      </w:pPr>
      <w:r>
        <w:rPr>
          <w:rFonts w:eastAsia="Calibri" w:cs="Calibri"/>
          <w:color w:val="24313C"/>
          <w:sz w:val="21"/>
          <w:lang w:val="fr-FR" w:eastAsia="fr-FR"/>
        </w:rPr>
        <w:t>Mettre en place un reverse proxy TLS (chaîne de confiance via une CA interne).</w:t>
      </w:r>
    </w:p>
    <w:p>
      <w:pPr>
        <w:pStyle w:val="ListParagraph"/>
        <w:widowControl/>
        <w:numPr>
          <w:ilvl w:val="0"/>
          <w:numId w:val="92"/>
        </w:numPr>
        <w:spacing w:lineRule="auto" w:line="247" w:before="0" w:after="40"/>
        <w:ind w:hanging="142" w:left="312"/>
        <w:jc w:val="left"/>
        <w:rPr/>
      </w:pPr>
      <w:r>
        <w:rPr>
          <w:rFonts w:eastAsia="Calibri" w:cs="Calibri"/>
          <w:color w:val="24313C"/>
          <w:sz w:val="21"/>
          <w:lang w:val="fr-FR" w:eastAsia="fr-FR"/>
        </w:rPr>
        <w:t>Déployer la supervision (Zabbix) sur les indicateurs exigés (uptime, latence DB, sauvegardes, file d'attente SMTP, disque).</w:t>
      </w:r>
    </w:p>
    <w:p>
      <w:pPr>
        <w:pStyle w:val="ListParagraph"/>
        <w:widowControl/>
        <w:numPr>
          <w:ilvl w:val="0"/>
          <w:numId w:val="93"/>
        </w:numPr>
        <w:spacing w:lineRule="auto" w:line="247" w:before="0" w:after="40"/>
        <w:ind w:hanging="142" w:left="312"/>
        <w:jc w:val="left"/>
        <w:rPr/>
      </w:pPr>
      <w:r>
        <w:rPr>
          <w:rFonts w:eastAsia="Calibri" w:cs="Calibri"/>
          <w:color w:val="24313C"/>
          <w:sz w:val="21"/>
          <w:lang w:val="fr-FR" w:eastAsia="fr-FR"/>
        </w:rPr>
        <w:t>Mettre en place les sauvegardes vérifiées (Proxmox Backup Server) et la réplication inter-nœuds (pvesr).</w:t>
      </w:r>
    </w:p>
    <w:p>
      <w:pPr>
        <w:pStyle w:val="ListParagraph"/>
        <w:widowControl/>
        <w:numPr>
          <w:ilvl w:val="0"/>
          <w:numId w:val="94"/>
        </w:numPr>
        <w:spacing w:lineRule="auto" w:line="247" w:before="0" w:after="40"/>
        <w:ind w:hanging="142" w:left="312"/>
        <w:jc w:val="left"/>
        <w:rPr/>
      </w:pPr>
      <w:r>
        <w:rPr>
          <w:rFonts w:eastAsia="Calibri" w:cs="Calibri"/>
          <w:color w:val="24313C"/>
          <w:sz w:val="21"/>
          <w:lang w:val="fr-FR" w:eastAsia="fr-FR"/>
        </w:rPr>
        <w:t>Sécuriser l'accès administrateur par VPN dédié (WireGuard).</w:t>
      </w:r>
    </w:p>
    <w:p>
      <w:pPr>
        <w:pStyle w:val="ListParagraph"/>
        <w:widowControl/>
        <w:numPr>
          <w:ilvl w:val="0"/>
          <w:numId w:val="95"/>
        </w:numPr>
        <w:spacing w:lineRule="auto" w:line="247" w:before="0" w:after="40"/>
        <w:ind w:hanging="142" w:left="312"/>
        <w:jc w:val="left"/>
        <w:rPr/>
      </w:pPr>
      <w:r>
        <w:rPr>
          <w:rFonts w:eastAsia="Calibri" w:cs="Calibri"/>
          <w:color w:val="24313C"/>
          <w:sz w:val="21"/>
          <w:lang w:val="fr-FR" w:eastAsia="fr-FR"/>
        </w:rPr>
        <w:t>Rédiger et exécuter les runbooks PRA (R1 à R5), avec mesures réelles à l'appui.</w:t>
      </w:r>
    </w:p>
    <w:p>
      <w:pPr>
        <w:pStyle w:val="ListParagraph"/>
        <w:widowControl/>
        <w:numPr>
          <w:ilvl w:val="0"/>
          <w:numId w:val="96"/>
        </w:numPr>
        <w:spacing w:lineRule="auto" w:line="247" w:before="0" w:after="40"/>
        <w:ind w:hanging="142" w:left="312"/>
        <w:jc w:val="left"/>
        <w:rPr/>
      </w:pPr>
      <w:r>
        <w:rPr>
          <w:rFonts w:eastAsia="Calibri" w:cs="Calibri"/>
          <w:color w:val="24313C"/>
          <w:sz w:val="21"/>
          <w:lang w:val="fr-FR" w:eastAsia="fr-FR"/>
        </w:rPr>
        <w:t>Réaliser les deux incidents de démonstration : restauration complète et restauration granulaire à un instant donné (point-in-time).</w:t>
      </w:r>
    </w:p>
    <w:p>
      <w:pPr>
        <w:pStyle w:val="ListParagraph"/>
        <w:widowControl/>
        <w:numPr>
          <w:ilvl w:val="0"/>
          <w:numId w:val="97"/>
        </w:numPr>
        <w:spacing w:lineRule="auto" w:line="247" w:before="0" w:after="40"/>
        <w:ind w:hanging="142" w:left="312"/>
        <w:jc w:val="left"/>
        <w:rPr/>
      </w:pPr>
      <w:r>
        <w:rPr>
          <w:rFonts w:eastAsia="Calibri" w:cs="Calibri"/>
          <w:color w:val="24313C"/>
          <w:sz w:val="21"/>
          <w:lang w:val="fr-FR" w:eastAsia="fr-FR"/>
        </w:rPr>
        <w:t>Rédiger les neuf livrables documentaires et préparer la soutenance / le transfert de compétences interne.</w:t>
      </w:r>
    </w:p>
    <w:p>
      <w:pPr>
        <w:pStyle w:val="Heading2"/>
        <w:keepNext w:val="true"/>
        <w:keepLines/>
        <w:spacing w:before="180" w:after="80"/>
        <w:jc w:val="left"/>
        <w:rPr/>
      </w:pPr>
      <w:bookmarkStart w:id="17" w:name="__RefHeading___Toc3049_3772494354"/>
      <w:bookmarkStart w:id="18" w:name="_Toc235035887"/>
      <w:bookmarkEnd w:id="17"/>
      <w:r>
        <w:rPr>
          <w:rFonts w:eastAsia="Calibri" w:cs="Calibri"/>
          <w:b/>
          <w:bCs/>
          <w:color w:val="2E75B6"/>
          <w:sz w:val="25"/>
          <w:lang w:val="fr-FR" w:eastAsia="fr-FR"/>
        </w:rPr>
        <w:t>3.2 Matrice d'Eisenhower</w:t>
      </w:r>
      <w:bookmarkEnd w:id="18"/>
    </w:p>
    <w:tbl>
      <w:tblPr>
        <w:tblW w:w="10200" w:type="dxa"/>
        <w:jc w:val="left"/>
        <w:tblInd w:w="0" w:type="dxa"/>
        <w:tblLayout w:type="fixed"/>
        <w:tblCellMar>
          <w:top w:w="70" w:type="dxa"/>
          <w:left w:w="90" w:type="dxa"/>
          <w:bottom w:w="70" w:type="dxa"/>
          <w:right w:w="90" w:type="dxa"/>
        </w:tblCellMar>
        <w:tblLook w:val="04a0" w:noHBand="0" w:noVBand="1" w:firstColumn="1" w:lastRow="0" w:lastColumn="0" w:firstRow="1"/>
      </w:tblPr>
      <w:tblGrid>
        <w:gridCol w:w="1618"/>
        <w:gridCol w:w="4374"/>
        <w:gridCol w:w="4208"/>
      </w:tblGrid>
      <w:tr>
        <w:trPr>
          <w:tblHeader w:val="true"/>
          <w:cantSplit w:val="true"/>
        </w:trPr>
        <w:tc>
          <w:tcPr>
            <w:tcW w:w="1618" w:type="dxa"/>
            <w:tcBorders>
              <w:top w:val="single" w:sz="6" w:space="0" w:color="AAB7C4"/>
              <w:left w:val="single" w:sz="6" w:space="0" w:color="AAB7C4"/>
              <w:bottom w:val="single" w:sz="6" w:space="0" w:color="AAB7C4"/>
              <w:right w:val="single" w:sz="6" w:space="0" w:color="AAB7C4"/>
            </w:tcBorders>
            <w:shd w:color="auto" w:fill="17365D" w:val="clear"/>
            <w:vAlign w:val="center"/>
          </w:tcPr>
          <w:p>
            <w:pPr>
              <w:pStyle w:val="Normal"/>
              <w:spacing w:lineRule="auto" w:line="240" w:before="0" w:after="0"/>
              <w:jc w:val="left"/>
              <w:rPr/>
            </w:pPr>
            <w:r>
              <w:rPr/>
            </w:r>
          </w:p>
        </w:tc>
        <w:tc>
          <w:tcPr>
            <w:tcW w:w="4374" w:type="dxa"/>
            <w:tcBorders>
              <w:top w:val="single" w:sz="6" w:space="0" w:color="AAB7C4"/>
              <w:left w:val="single" w:sz="6" w:space="0" w:color="AAB7C4"/>
              <w:bottom w:val="single" w:sz="6" w:space="0" w:color="AAB7C4"/>
              <w:right w:val="single" w:sz="6" w:space="0" w:color="AAB7C4"/>
            </w:tcBorders>
            <w:shd w:color="auto" w:fill="17365D" w:val="clear"/>
            <w:vAlign w:val="center"/>
          </w:tcPr>
          <w:p>
            <w:pPr>
              <w:pStyle w:val="Normal"/>
              <w:spacing w:lineRule="auto" w:line="240" w:before="0" w:after="0"/>
              <w:jc w:val="left"/>
              <w:rPr/>
            </w:pPr>
            <w:r>
              <w:rPr>
                <w:rFonts w:eastAsia="Calibri" w:cs="Calibri"/>
                <w:b/>
                <w:bCs/>
                <w:color w:val="FFFFFF"/>
                <w:sz w:val="17"/>
              </w:rPr>
              <w:t>URGENT</w:t>
            </w:r>
          </w:p>
        </w:tc>
        <w:tc>
          <w:tcPr>
            <w:tcW w:w="4208" w:type="dxa"/>
            <w:tcBorders>
              <w:top w:val="single" w:sz="6" w:space="0" w:color="AAB7C4"/>
              <w:left w:val="single" w:sz="6" w:space="0" w:color="AAB7C4"/>
              <w:bottom w:val="single" w:sz="6" w:space="0" w:color="AAB7C4"/>
              <w:right w:val="single" w:sz="6" w:space="0" w:color="AAB7C4"/>
            </w:tcBorders>
            <w:shd w:color="auto" w:fill="17365D" w:val="clear"/>
            <w:vAlign w:val="center"/>
          </w:tcPr>
          <w:p>
            <w:pPr>
              <w:pStyle w:val="Normal"/>
              <w:spacing w:lineRule="auto" w:line="240" w:before="0" w:after="0"/>
              <w:jc w:val="left"/>
              <w:rPr/>
            </w:pPr>
            <w:r>
              <w:rPr>
                <w:rFonts w:eastAsia="Calibri" w:cs="Calibri"/>
                <w:b/>
                <w:bCs/>
                <w:color w:val="FFFFFF"/>
                <w:sz w:val="17"/>
              </w:rPr>
              <w:t>NON URGENT</w:t>
            </w:r>
          </w:p>
        </w:tc>
      </w:tr>
      <w:tr>
        <w:trPr>
          <w:cantSplit w:val="true"/>
        </w:trPr>
        <w:tc>
          <w:tcPr>
            <w:tcW w:w="1618" w:type="dxa"/>
            <w:tcBorders>
              <w:top w:val="single" w:sz="6" w:space="0" w:color="AAB7C4"/>
              <w:left w:val="single" w:sz="6" w:space="0" w:color="AAB7C4"/>
              <w:bottom w:val="single" w:sz="6" w:space="0" w:color="AAB7C4"/>
              <w:right w:val="single" w:sz="6" w:space="0" w:color="AAB7C4"/>
            </w:tcBorders>
            <w:shd w:fill="DDEBF7" w:val="clear"/>
            <w:vAlign w:val="center"/>
          </w:tcPr>
          <w:p>
            <w:pPr>
              <w:pStyle w:val="Normal"/>
              <w:spacing w:lineRule="auto" w:line="240" w:before="0" w:after="0"/>
              <w:jc w:val="left"/>
              <w:rPr/>
            </w:pPr>
            <w:r>
              <w:rPr>
                <w:rFonts w:eastAsia="Calibri" w:cs="Calibri"/>
                <w:b/>
                <w:color w:val="24313C"/>
                <w:sz w:val="17"/>
              </w:rPr>
              <w:t>IMPORTANT</w:t>
            </w:r>
          </w:p>
        </w:tc>
        <w:tc>
          <w:tcPr>
            <w:tcW w:w="4374"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Cluster + quorum · WAN public/pare-feu · GLPI + durcissement · Sauvegardes PBS vérifiées · Tests d'incidents 1 et 2</w:t>
            </w:r>
          </w:p>
        </w:tc>
        <w:tc>
          <w:tcPr>
            <w:tcW w:w="4208"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Supervision Zabbix · Réplication pvesr · TLS/CA interne · VPN d'administration · Transfert de compétences</w:t>
            </w:r>
          </w:p>
        </w:tc>
      </w:tr>
      <w:tr>
        <w:trPr>
          <w:cantSplit w:val="true"/>
        </w:trPr>
        <w:tc>
          <w:tcPr>
            <w:tcW w:w="1618" w:type="dxa"/>
            <w:tcBorders>
              <w:top w:val="single" w:sz="6" w:space="0" w:color="AAB7C4"/>
              <w:left w:val="single" w:sz="6" w:space="0" w:color="AAB7C4"/>
              <w:bottom w:val="single" w:sz="6" w:space="0" w:color="AAB7C4"/>
              <w:right w:val="single" w:sz="6" w:space="0" w:color="AAB7C4"/>
            </w:tcBorders>
            <w:shd w:color="auto" w:fill="DDEBF7" w:val="clear"/>
            <w:vAlign w:val="center"/>
          </w:tcPr>
          <w:p>
            <w:pPr>
              <w:pStyle w:val="Normal"/>
              <w:spacing w:lineRule="auto" w:line="240" w:before="0" w:after="0"/>
              <w:jc w:val="left"/>
              <w:rPr/>
            </w:pPr>
            <w:r>
              <w:rPr>
                <w:rFonts w:eastAsia="Calibri" w:cs="Calibri"/>
                <w:b/>
                <w:color w:val="24313C"/>
                <w:sz w:val="17"/>
              </w:rPr>
              <w:t>MOINS IMPORTANT</w:t>
            </w:r>
          </w:p>
        </w:tc>
        <w:tc>
          <w:tcPr>
            <w:tcW w:w="4374"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Retrait des règles pare-feu temporaires · Durcissement SSH résiduel</w:t>
            </w:r>
          </w:p>
        </w:tc>
        <w:tc>
          <w:tcPr>
            <w:tcW w:w="4208"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Schéma Miro final · Bilan et leçons de fin de projet</w:t>
            </w:r>
          </w:p>
        </w:tc>
      </w:tr>
    </w:tbl>
    <w:p>
      <w:pPr>
        <w:pStyle w:val="Normal"/>
        <w:spacing w:before="200" w:after="100"/>
        <w:rPr/>
      </w:pPr>
      <w:r>
        <w:rPr/>
      </w:r>
    </w:p>
    <w:p>
      <w:pPr>
        <w:pStyle w:val="Heading2"/>
        <w:keepNext w:val="true"/>
        <w:keepLines/>
        <w:spacing w:before="180" w:after="80"/>
        <w:jc w:val="left"/>
        <w:rPr/>
      </w:pPr>
      <w:bookmarkStart w:id="19" w:name="__RefHeading___Toc3051_3772494354"/>
      <w:bookmarkStart w:id="20" w:name="_Toc235035888"/>
      <w:bookmarkEnd w:id="19"/>
      <w:r>
        <w:rPr>
          <w:rFonts w:eastAsia="Calibri" w:cs="Calibri"/>
          <w:b/>
          <w:bCs/>
          <w:color w:val="2E75B6"/>
          <w:sz w:val="25"/>
          <w:lang w:val="fr-FR" w:eastAsia="fr-FR"/>
        </w:rPr>
        <w:t>3.3 Cube de Stern</w:t>
      </w:r>
      <w:bookmarkEnd w:id="20"/>
    </w:p>
    <w:p>
      <w:pPr>
        <w:pStyle w:val="Normal"/>
        <w:widowControl/>
        <w:spacing w:lineRule="auto" w:line="259" w:before="0" w:after="100"/>
        <w:jc w:val="both"/>
        <w:rPr/>
      </w:pPr>
      <w:r>
        <w:rPr>
          <w:rFonts w:eastAsia="Calibri" w:cs="Calibri"/>
          <w:color w:val="24313C"/>
          <w:sz w:val="21"/>
          <w:lang w:val="fr-FR" w:eastAsia="fr-FR"/>
        </w:rPr>
        <w:t>Note de facilité de mise en place : 0 = difficile côté équipe technique, 3 = facile. Note d'impact : 0 = impact faible sur la démonstration/l'utilisateur final, 3 = impact fort.</w:t>
      </w:r>
    </w:p>
    <w:tbl>
      <w:tblPr>
        <w:tblW w:w="10200" w:type="dxa"/>
        <w:jc w:val="left"/>
        <w:tblInd w:w="0" w:type="dxa"/>
        <w:tblLayout w:type="fixed"/>
        <w:tblCellMar>
          <w:top w:w="70" w:type="dxa"/>
          <w:left w:w="90" w:type="dxa"/>
          <w:bottom w:w="70" w:type="dxa"/>
          <w:right w:w="90" w:type="dxa"/>
        </w:tblCellMar>
        <w:tblLook w:val="04a0" w:noHBand="0" w:noVBand="1" w:firstColumn="1" w:lastRow="0" w:lastColumn="0" w:firstRow="1"/>
      </w:tblPr>
      <w:tblGrid>
        <w:gridCol w:w="3633"/>
        <w:gridCol w:w="2754"/>
        <w:gridCol w:w="3813"/>
      </w:tblGrid>
      <w:tr>
        <w:trPr>
          <w:tblHeader w:val="true"/>
          <w:cantSplit w:val="true"/>
        </w:trPr>
        <w:tc>
          <w:tcPr>
            <w:tcW w:w="3633" w:type="dxa"/>
            <w:tcBorders>
              <w:top w:val="single" w:sz="6" w:space="0" w:color="AAB7C4"/>
              <w:left w:val="single" w:sz="6" w:space="0" w:color="AAB7C4"/>
              <w:bottom w:val="single" w:sz="6" w:space="0" w:color="AAB7C4"/>
              <w:right w:val="single" w:sz="6" w:space="0" w:color="AAB7C4"/>
            </w:tcBorders>
            <w:shd w:color="auto" w:fill="17365D" w:val="clear"/>
            <w:vAlign w:val="center"/>
          </w:tcPr>
          <w:p>
            <w:pPr>
              <w:pStyle w:val="Normal"/>
              <w:spacing w:lineRule="auto" w:line="240" w:before="0" w:after="0"/>
              <w:jc w:val="left"/>
              <w:rPr/>
            </w:pPr>
            <w:r>
              <w:rPr>
                <w:rFonts w:eastAsia="Calibri" w:cs="Calibri"/>
                <w:b/>
                <w:bCs/>
                <w:color w:val="FFFFFF"/>
                <w:sz w:val="17"/>
              </w:rPr>
              <w:t>Action</w:t>
            </w:r>
          </w:p>
        </w:tc>
        <w:tc>
          <w:tcPr>
            <w:tcW w:w="2754" w:type="dxa"/>
            <w:tcBorders>
              <w:top w:val="single" w:sz="6" w:space="0" w:color="AAB7C4"/>
              <w:left w:val="single" w:sz="6" w:space="0" w:color="AAB7C4"/>
              <w:bottom w:val="single" w:sz="6" w:space="0" w:color="AAB7C4"/>
              <w:right w:val="single" w:sz="6" w:space="0" w:color="AAB7C4"/>
            </w:tcBorders>
            <w:shd w:color="auto" w:fill="17365D" w:val="clear"/>
            <w:vAlign w:val="center"/>
          </w:tcPr>
          <w:p>
            <w:pPr>
              <w:pStyle w:val="Normal"/>
              <w:spacing w:lineRule="auto" w:line="240" w:before="0" w:after="0"/>
              <w:jc w:val="left"/>
              <w:rPr/>
            </w:pPr>
            <w:r>
              <w:rPr>
                <w:rFonts w:eastAsia="Calibri" w:cs="Calibri"/>
                <w:b/>
                <w:bCs/>
                <w:color w:val="FFFFFF"/>
                <w:sz w:val="17"/>
              </w:rPr>
              <w:t>Facilité de mise en place</w:t>
            </w:r>
          </w:p>
        </w:tc>
        <w:tc>
          <w:tcPr>
            <w:tcW w:w="3813" w:type="dxa"/>
            <w:tcBorders>
              <w:top w:val="single" w:sz="6" w:space="0" w:color="AAB7C4"/>
              <w:left w:val="single" w:sz="6" w:space="0" w:color="AAB7C4"/>
              <w:bottom w:val="single" w:sz="6" w:space="0" w:color="AAB7C4"/>
              <w:right w:val="single" w:sz="6" w:space="0" w:color="AAB7C4"/>
            </w:tcBorders>
            <w:shd w:color="auto" w:fill="17365D" w:val="clear"/>
            <w:vAlign w:val="center"/>
          </w:tcPr>
          <w:p>
            <w:pPr>
              <w:pStyle w:val="Normal"/>
              <w:spacing w:lineRule="auto" w:line="240" w:before="0" w:after="0"/>
              <w:jc w:val="left"/>
              <w:rPr/>
            </w:pPr>
            <w:r>
              <w:rPr>
                <w:rFonts w:eastAsia="Calibri" w:cs="Calibri"/>
                <w:b/>
                <w:bCs/>
                <w:color w:val="FFFFFF"/>
                <w:sz w:val="17"/>
              </w:rPr>
              <w:t>Impact démonstration / utilisateur</w:t>
            </w:r>
          </w:p>
        </w:tc>
      </w:tr>
      <w:tr>
        <w:trPr>
          <w:cantSplit w:val="true"/>
        </w:trPr>
        <w:tc>
          <w:tcPr>
            <w:tcW w:w="3633"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Cluster Proxmox + quorum</w:t>
            </w:r>
          </w:p>
        </w:tc>
        <w:tc>
          <w:tcPr>
            <w:tcW w:w="2754"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2</w:t>
            </w:r>
          </w:p>
        </w:tc>
        <w:tc>
          <w:tcPr>
            <w:tcW w:w="3813"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3</w:t>
            </w:r>
          </w:p>
        </w:tc>
      </w:tr>
      <w:tr>
        <w:trPr>
          <w:cantSplit w:val="true"/>
        </w:trPr>
        <w:tc>
          <w:tcPr>
            <w:tcW w:w="3633"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WAN public + pare-feu OPNsense</w:t>
            </w:r>
          </w:p>
        </w:tc>
        <w:tc>
          <w:tcPr>
            <w:tcW w:w="2754"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1</w:t>
            </w:r>
          </w:p>
        </w:tc>
        <w:tc>
          <w:tcPr>
            <w:tcW w:w="3813"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3</w:t>
            </w:r>
          </w:p>
        </w:tc>
      </w:tr>
      <w:tr>
        <w:trPr>
          <w:cantSplit w:val="true"/>
        </w:trPr>
        <w:tc>
          <w:tcPr>
            <w:tcW w:w="3633"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GLPI + durcissement</w:t>
            </w:r>
          </w:p>
        </w:tc>
        <w:tc>
          <w:tcPr>
            <w:tcW w:w="2754"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2</w:t>
            </w:r>
          </w:p>
        </w:tc>
        <w:tc>
          <w:tcPr>
            <w:tcW w:w="3813"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3</w:t>
            </w:r>
          </w:p>
        </w:tc>
      </w:tr>
      <w:tr>
        <w:trPr>
          <w:cantSplit w:val="true"/>
        </w:trPr>
        <w:tc>
          <w:tcPr>
            <w:tcW w:w="3633"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Sauvegardes PBS + vérification</w:t>
            </w:r>
          </w:p>
        </w:tc>
        <w:tc>
          <w:tcPr>
            <w:tcW w:w="2754"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2</w:t>
            </w:r>
          </w:p>
        </w:tc>
        <w:tc>
          <w:tcPr>
            <w:tcW w:w="3813"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3</w:t>
            </w:r>
          </w:p>
        </w:tc>
      </w:tr>
      <w:tr>
        <w:trPr>
          <w:cantSplit w:val="true"/>
        </w:trPr>
        <w:tc>
          <w:tcPr>
            <w:tcW w:w="3633"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TLS via CA interne</w:t>
            </w:r>
          </w:p>
        </w:tc>
        <w:tc>
          <w:tcPr>
            <w:tcW w:w="2754"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1</w:t>
            </w:r>
          </w:p>
        </w:tc>
        <w:tc>
          <w:tcPr>
            <w:tcW w:w="3813"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2</w:t>
            </w:r>
          </w:p>
        </w:tc>
      </w:tr>
      <w:tr>
        <w:trPr>
          <w:cantSplit w:val="true"/>
        </w:trPr>
        <w:tc>
          <w:tcPr>
            <w:tcW w:w="3633"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VPN d'administration WireGuard</w:t>
            </w:r>
          </w:p>
        </w:tc>
        <w:tc>
          <w:tcPr>
            <w:tcW w:w="2754"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2</w:t>
            </w:r>
          </w:p>
        </w:tc>
        <w:tc>
          <w:tcPr>
            <w:tcW w:w="3813"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2</w:t>
            </w:r>
          </w:p>
        </w:tc>
      </w:tr>
    </w:tbl>
    <w:p>
      <w:pPr>
        <w:pStyle w:val="lev1"/>
        <w:rPr/>
      </w:pPr>
      <w:r>
        <w:rPr/>
      </w:r>
    </w:p>
    <w:p>
      <w:pPr>
        <w:pStyle w:val="lev1"/>
        <w:rPr>
          <w:sz w:val="32"/>
          <w:szCs w:val="32"/>
        </w:rPr>
      </w:pPr>
      <w:r>
        <w:rPr>
          <w:sz w:val="32"/>
          <w:szCs w:val="32"/>
        </w:rPr>
      </w:r>
      <w:r>
        <w:br w:type="page"/>
      </w:r>
    </w:p>
    <w:p>
      <w:pPr>
        <w:pStyle w:val="Heading1"/>
        <w:keepNext w:val="true"/>
        <w:keepLines/>
        <w:spacing w:before="0" w:after="180"/>
        <w:jc w:val="left"/>
        <w:rPr/>
      </w:pPr>
      <w:bookmarkStart w:id="21" w:name="__RefHeading___Toc3053_3772494354"/>
      <w:bookmarkEnd w:id="21"/>
      <w:r>
        <w:rPr>
          <w:rFonts w:eastAsia="Calibri" w:cs="Calibri"/>
          <w:b/>
          <w:bCs/>
          <w:color w:val="17365D"/>
          <w:sz w:val="34"/>
          <w:lang w:val="fr-FR" w:eastAsia="fr-FR"/>
        </w:rPr>
        <w:t>4. Organisation du projet</w:t>
      </w:r>
    </w:p>
    <w:p>
      <w:pPr>
        <w:pStyle w:val="Heading2"/>
        <w:keepNext w:val="true"/>
        <w:keepLines/>
        <w:spacing w:before="180" w:after="80"/>
        <w:jc w:val="left"/>
        <w:rPr/>
      </w:pPr>
      <w:bookmarkStart w:id="22" w:name="__RefHeading___Toc3055_3772494354"/>
      <w:bookmarkStart w:id="23" w:name="_Toc235035890"/>
      <w:bookmarkEnd w:id="22"/>
      <w:r>
        <w:rPr>
          <w:rFonts w:eastAsia="Calibri" w:cs="Calibri"/>
          <w:b/>
          <w:bCs/>
          <w:color w:val="2E75B6"/>
          <w:sz w:val="25"/>
          <w:lang w:val="fr-FR" w:eastAsia="fr-FR"/>
        </w:rPr>
        <w:t>4.1 Comitologie</w:t>
      </w:r>
      <w:bookmarkEnd w:id="23"/>
    </w:p>
    <w:tbl>
      <w:tblPr>
        <w:tblW w:w="9800" w:type="dxa"/>
        <w:jc w:val="left"/>
        <w:tblInd w:w="0" w:type="dxa"/>
        <w:tblLayout w:type="fixed"/>
        <w:tblCellMar>
          <w:top w:w="70" w:type="dxa"/>
          <w:left w:w="90" w:type="dxa"/>
          <w:bottom w:w="70" w:type="dxa"/>
          <w:right w:w="90" w:type="dxa"/>
        </w:tblCellMar>
        <w:tblLook w:val="04a0" w:noHBand="0" w:noVBand="1" w:firstColumn="1" w:lastRow="0" w:lastColumn="0" w:firstRow="1"/>
      </w:tblPr>
      <w:tblGrid>
        <w:gridCol w:w="1764"/>
        <w:gridCol w:w="2048"/>
        <w:gridCol w:w="2489"/>
        <w:gridCol w:w="3498"/>
      </w:tblGrid>
      <w:tr>
        <w:trPr>
          <w:tblHeader w:val="true"/>
          <w:cantSplit w:val="true"/>
        </w:trPr>
        <w:tc>
          <w:tcPr>
            <w:tcW w:w="1764" w:type="dxa"/>
            <w:tcBorders>
              <w:top w:val="single" w:sz="6" w:space="0" w:color="AAB7C4"/>
              <w:left w:val="single" w:sz="6" w:space="0" w:color="AAB7C4"/>
              <w:bottom w:val="single" w:sz="6" w:space="0" w:color="AAB7C4"/>
              <w:right w:val="single" w:sz="6" w:space="0" w:color="AAB7C4"/>
            </w:tcBorders>
            <w:shd w:color="auto" w:fill="17365D" w:val="clear"/>
            <w:vAlign w:val="center"/>
          </w:tcPr>
          <w:p>
            <w:pPr>
              <w:pStyle w:val="Normal"/>
              <w:spacing w:lineRule="auto" w:line="240" w:before="0" w:after="0"/>
              <w:jc w:val="left"/>
              <w:rPr/>
            </w:pPr>
            <w:r>
              <w:rPr>
                <w:rFonts w:eastAsia="Calibri" w:cs="Calibri"/>
                <w:b/>
                <w:bCs/>
                <w:color w:val="FFFFFF"/>
                <w:sz w:val="17"/>
              </w:rPr>
              <w:t>Type de réunion</w:t>
            </w:r>
          </w:p>
        </w:tc>
        <w:tc>
          <w:tcPr>
            <w:tcW w:w="2048" w:type="dxa"/>
            <w:tcBorders>
              <w:top w:val="single" w:sz="6" w:space="0" w:color="AAB7C4"/>
              <w:left w:val="single" w:sz="6" w:space="0" w:color="AAB7C4"/>
              <w:bottom w:val="single" w:sz="6" w:space="0" w:color="AAB7C4"/>
              <w:right w:val="single" w:sz="6" w:space="0" w:color="AAB7C4"/>
            </w:tcBorders>
            <w:shd w:color="auto" w:fill="17365D" w:val="clear"/>
            <w:vAlign w:val="center"/>
          </w:tcPr>
          <w:p>
            <w:pPr>
              <w:pStyle w:val="Normal"/>
              <w:spacing w:lineRule="auto" w:line="240" w:before="0" w:after="0"/>
              <w:jc w:val="left"/>
              <w:rPr/>
            </w:pPr>
            <w:r>
              <w:rPr>
                <w:rFonts w:eastAsia="Calibri" w:cs="Calibri"/>
                <w:b/>
                <w:bCs/>
                <w:color w:val="FFFFFF"/>
                <w:sz w:val="17"/>
              </w:rPr>
              <w:t>Fréquence</w:t>
            </w:r>
          </w:p>
        </w:tc>
        <w:tc>
          <w:tcPr>
            <w:tcW w:w="2489" w:type="dxa"/>
            <w:tcBorders>
              <w:top w:val="single" w:sz="6" w:space="0" w:color="AAB7C4"/>
              <w:left w:val="single" w:sz="6" w:space="0" w:color="AAB7C4"/>
              <w:bottom w:val="single" w:sz="6" w:space="0" w:color="AAB7C4"/>
              <w:right w:val="single" w:sz="6" w:space="0" w:color="AAB7C4"/>
            </w:tcBorders>
            <w:shd w:color="auto" w:fill="17365D" w:val="clear"/>
            <w:vAlign w:val="center"/>
          </w:tcPr>
          <w:p>
            <w:pPr>
              <w:pStyle w:val="Normal"/>
              <w:spacing w:lineRule="auto" w:line="240" w:before="0" w:after="0"/>
              <w:jc w:val="left"/>
              <w:rPr/>
            </w:pPr>
            <w:r>
              <w:rPr>
                <w:rFonts w:eastAsia="Calibri" w:cs="Calibri"/>
                <w:b/>
                <w:bCs/>
                <w:color w:val="FFFFFF"/>
                <w:sz w:val="17"/>
              </w:rPr>
              <w:t>Participants</w:t>
            </w:r>
          </w:p>
        </w:tc>
        <w:tc>
          <w:tcPr>
            <w:tcW w:w="3498" w:type="dxa"/>
            <w:tcBorders>
              <w:top w:val="single" w:sz="6" w:space="0" w:color="AAB7C4"/>
              <w:left w:val="single" w:sz="6" w:space="0" w:color="AAB7C4"/>
              <w:bottom w:val="single" w:sz="6" w:space="0" w:color="AAB7C4"/>
              <w:right w:val="single" w:sz="6" w:space="0" w:color="AAB7C4"/>
            </w:tcBorders>
            <w:shd w:color="auto" w:fill="17365D" w:val="clear"/>
            <w:vAlign w:val="center"/>
          </w:tcPr>
          <w:p>
            <w:pPr>
              <w:pStyle w:val="Normal"/>
              <w:spacing w:lineRule="auto" w:line="240" w:before="0" w:after="0"/>
              <w:jc w:val="left"/>
              <w:rPr/>
            </w:pPr>
            <w:r>
              <w:rPr>
                <w:rFonts w:eastAsia="Calibri" w:cs="Calibri"/>
                <w:b/>
                <w:bCs/>
                <w:color w:val="FFFFFF"/>
                <w:sz w:val="17"/>
              </w:rPr>
              <w:t>Contenu principal</w:t>
            </w:r>
          </w:p>
        </w:tc>
      </w:tr>
      <w:tr>
        <w:trPr>
          <w:cantSplit w:val="true"/>
        </w:trPr>
        <w:tc>
          <w:tcPr>
            <w:tcW w:w="1764"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Cadrage initial</w:t>
            </w:r>
          </w:p>
        </w:tc>
        <w:tc>
          <w:tcPr>
            <w:tcW w:w="2048"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1 fois (lancement)</w:t>
            </w:r>
          </w:p>
        </w:tc>
        <w:tc>
          <w:tcPr>
            <w:tcW w:w="2489"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Équipe projet</w:t>
            </w:r>
          </w:p>
        </w:tc>
        <w:tc>
          <w:tcPr>
            <w:tcW w:w="3498"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Lecture du sujet, répartition des rôles, macro-planning</w:t>
            </w:r>
          </w:p>
        </w:tc>
      </w:tr>
      <w:tr>
        <w:trPr>
          <w:cantSplit w:val="true"/>
        </w:trPr>
        <w:tc>
          <w:tcPr>
            <w:tcW w:w="1764"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Séance de travail technique</w:t>
            </w:r>
          </w:p>
        </w:tc>
        <w:tc>
          <w:tcPr>
            <w:tcW w:w="2048"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Quasi quotidienne (04→14/07)</w:t>
            </w:r>
          </w:p>
        </w:tc>
        <w:tc>
          <w:tcPr>
            <w:tcW w:w="2489"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Harry (+ équipe selon les sujets)</w:t>
            </w:r>
          </w:p>
        </w:tc>
        <w:tc>
          <w:tcPr>
            <w:tcW w:w="3498"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Déploiement, tests, journal de preuves horodaté</w:t>
            </w:r>
          </w:p>
        </w:tc>
      </w:tr>
      <w:tr>
        <w:trPr>
          <w:cantSplit w:val="true"/>
        </w:trPr>
        <w:tc>
          <w:tcPr>
            <w:tcW w:w="1764"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Revue de livrables</w:t>
            </w:r>
          </w:p>
        </w:tc>
        <w:tc>
          <w:tcPr>
            <w:tcW w:w="2048"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Hebdomadaire</w:t>
            </w:r>
          </w:p>
        </w:tc>
        <w:tc>
          <w:tcPr>
            <w:tcW w:w="2489"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Équipe projet + retour Kalla</w:t>
            </w:r>
          </w:p>
        </w:tc>
        <w:tc>
          <w:tcPr>
            <w:tcW w:w="3498"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État d'avancement, arbitrages, mise à jour de l'ensemble des livrables</w:t>
            </w:r>
          </w:p>
        </w:tc>
      </w:tr>
      <w:tr>
        <w:trPr>
          <w:cantSplit w:val="true"/>
        </w:trPr>
        <w:tc>
          <w:tcPr>
            <w:tcW w:w="1764"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Répétition de soutenance</w:t>
            </w:r>
          </w:p>
        </w:tc>
        <w:tc>
          <w:tcPr>
            <w:tcW w:w="2048"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 xml:space="preserve">≥ </w:t>
            </w:r>
            <w:r>
              <w:rPr>
                <w:rFonts w:eastAsia="Calibri" w:cs="Calibri"/>
                <w:color w:val="24313C"/>
                <w:sz w:val="17"/>
              </w:rPr>
              <w:t>2 fois avant J-4</w:t>
            </w:r>
          </w:p>
        </w:tc>
        <w:tc>
          <w:tcPr>
            <w:tcW w:w="2489"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Équipe projet (chacun en solo)</w:t>
            </w:r>
          </w:p>
        </w:tc>
        <w:tc>
          <w:tcPr>
            <w:tcW w:w="3498"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Présentation intégrale par chaque membre, chronométrée</w:t>
            </w:r>
          </w:p>
        </w:tc>
      </w:tr>
      <w:tr>
        <w:trPr>
          <w:cantSplit w:val="true"/>
        </w:trPr>
        <w:tc>
          <w:tcPr>
            <w:tcW w:w="1764"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Soutenance finale</w:t>
            </w:r>
          </w:p>
        </w:tc>
        <w:tc>
          <w:tcPr>
            <w:tcW w:w="2048"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1 fois (fin de projet)</w:t>
            </w:r>
          </w:p>
        </w:tc>
        <w:tc>
          <w:tcPr>
            <w:tcW w:w="2489"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Équipe + Kalla + intervenant non technique</w:t>
            </w:r>
          </w:p>
        </w:tc>
        <w:tc>
          <w:tcPr>
            <w:tcW w:w="3498"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Démonstration, questions/réponses, bilan</w:t>
            </w:r>
          </w:p>
        </w:tc>
      </w:tr>
    </w:tbl>
    <w:p>
      <w:pPr>
        <w:pStyle w:val="Normal"/>
        <w:spacing w:before="200" w:after="100"/>
        <w:rPr/>
      </w:pPr>
      <w:r>
        <w:rPr/>
      </w:r>
    </w:p>
    <w:p>
      <w:pPr>
        <w:pStyle w:val="Heading2"/>
        <w:keepNext w:val="true"/>
        <w:keepLines/>
        <w:spacing w:before="180" w:after="80"/>
        <w:jc w:val="left"/>
        <w:rPr/>
      </w:pPr>
      <w:bookmarkStart w:id="24" w:name="__RefHeading___Toc3057_3772494354"/>
      <w:bookmarkStart w:id="25" w:name="_Toc235035891"/>
      <w:bookmarkEnd w:id="24"/>
      <w:r>
        <w:rPr>
          <w:rFonts w:eastAsia="Calibri" w:cs="Calibri"/>
          <w:b/>
          <w:bCs/>
          <w:color w:val="2E75B6"/>
          <w:sz w:val="25"/>
          <w:lang w:val="fr-FR" w:eastAsia="fr-FR"/>
        </w:rPr>
        <w:t>4.2 Processus de communication</w:t>
      </w:r>
      <w:bookmarkEnd w:id="25"/>
    </w:p>
    <w:p>
      <w:pPr>
        <w:pStyle w:val="ListParagraph"/>
        <w:widowControl/>
        <w:numPr>
          <w:ilvl w:val="0"/>
          <w:numId w:val="98"/>
        </w:numPr>
        <w:spacing w:lineRule="auto" w:line="247" w:before="0" w:after="40"/>
        <w:ind w:hanging="142" w:left="312"/>
        <w:jc w:val="left"/>
        <w:rPr/>
      </w:pPr>
      <w:r>
        <w:rPr>
          <w:rFonts w:eastAsia="Calibri" w:cs="Calibri"/>
          <w:color w:val="24313C"/>
          <w:sz w:val="21"/>
          <w:lang w:val="fr-FR" w:eastAsia="fr-FR"/>
        </w:rPr>
        <w:t>Dépôt Git (github.com/Hifkil/Helpdesk-Atlas) : configurations, scripts, ensemble des livrables versionnés.</w:t>
      </w:r>
    </w:p>
    <w:p>
      <w:pPr>
        <w:pStyle w:val="ListParagraph"/>
        <w:widowControl/>
        <w:numPr>
          <w:ilvl w:val="0"/>
          <w:numId w:val="99"/>
        </w:numPr>
        <w:spacing w:lineRule="auto" w:line="247" w:before="0" w:after="40"/>
        <w:ind w:hanging="142" w:left="312"/>
        <w:jc w:val="left"/>
        <w:rPr/>
      </w:pPr>
      <w:r>
        <w:rPr>
          <w:rFonts w:eastAsia="Calibri" w:cs="Calibri"/>
          <w:color w:val="24313C"/>
          <w:sz w:val="21"/>
          <w:lang w:val="fr-FR" w:eastAsia="fr-FR"/>
        </w:rPr>
        <w:t>Journal de preuves horodaté (livrable 5) : colonne vertébrale de toutes les affirmations RPO/RTO.</w:t>
      </w:r>
    </w:p>
    <w:p>
      <w:pPr>
        <w:pStyle w:val="ListParagraph"/>
        <w:widowControl/>
        <w:numPr>
          <w:ilvl w:val="0"/>
          <w:numId w:val="100"/>
        </w:numPr>
        <w:spacing w:lineRule="auto" w:line="247" w:before="0" w:after="40"/>
        <w:ind w:hanging="142" w:left="312"/>
        <w:jc w:val="left"/>
        <w:rPr/>
      </w:pPr>
      <w:r>
        <w:rPr>
          <w:rFonts w:eastAsia="Calibri" w:cs="Calibri"/>
          <w:color w:val="24313C"/>
          <w:sz w:val="21"/>
          <w:lang w:val="fr-FR" w:eastAsia="fr-FR"/>
        </w:rPr>
        <w:t>Tableau Miro : schéma d'architecture partagé, mis à jour au fil des évolutions réseau.</w:t>
      </w:r>
    </w:p>
    <w:p>
      <w:pPr>
        <w:pStyle w:val="ListParagraph"/>
        <w:widowControl/>
        <w:numPr>
          <w:ilvl w:val="0"/>
          <w:numId w:val="101"/>
        </w:numPr>
        <w:spacing w:lineRule="auto" w:line="247" w:before="0" w:after="40"/>
        <w:ind w:hanging="142" w:left="312"/>
        <w:jc w:val="left"/>
        <w:rPr/>
      </w:pPr>
      <w:r>
        <w:rPr>
          <w:rFonts w:eastAsia="Calibri" w:cs="Calibri"/>
          <w:color w:val="24313C"/>
          <w:sz w:val="21"/>
          <w:lang w:val="fr-FR" w:eastAsia="fr-FR"/>
        </w:rPr>
        <w:t>Points d'équipe synchrones réguliers, avec un compte rendu consigné dans les fichiers de suivi de l'ensemble des livrables.</w:t>
      </w:r>
    </w:p>
    <w:p>
      <w:pPr>
        <w:pStyle w:val="Heading2"/>
        <w:keepNext w:val="true"/>
        <w:keepLines/>
        <w:spacing w:before="180" w:after="80"/>
        <w:jc w:val="left"/>
        <w:rPr/>
      </w:pPr>
      <w:bookmarkStart w:id="26" w:name="__RefHeading___Toc3059_3772494354"/>
      <w:bookmarkStart w:id="27" w:name="_Toc235035892"/>
      <w:bookmarkEnd w:id="26"/>
      <w:r>
        <w:rPr>
          <w:rFonts w:eastAsia="Calibri" w:cs="Calibri"/>
          <w:b/>
          <w:bCs/>
          <w:color w:val="2E75B6"/>
          <w:sz w:val="25"/>
          <w:lang w:val="fr-FR" w:eastAsia="fr-FR"/>
        </w:rPr>
        <w:t>4.3 Matrice RACI</w:t>
      </w:r>
      <w:bookmarkEnd w:id="27"/>
    </w:p>
    <w:p>
      <w:pPr>
        <w:pStyle w:val="Normal"/>
        <w:keepNext w:val="true"/>
        <w:spacing w:before="0" w:after="80"/>
        <w:rPr/>
      </w:pPr>
      <w:r>
        <w:rPr>
          <w:rFonts w:eastAsia="Calibri" w:cs="Calibri"/>
          <w:i/>
          <w:color w:val="6B7785"/>
          <w:sz w:val="18"/>
        </w:rPr>
        <w:t>R = Responsable ; A = Approbateur ; C = Consulté ; I = Informé.</w:t>
      </w:r>
    </w:p>
    <w:tbl>
      <w:tblPr>
        <w:tblW w:w="9800" w:type="dxa"/>
        <w:jc w:val="left"/>
        <w:tblInd w:w="0" w:type="dxa"/>
        <w:tblLayout w:type="fixed"/>
        <w:tblCellMar>
          <w:top w:w="70" w:type="dxa"/>
          <w:left w:w="90" w:type="dxa"/>
          <w:bottom w:w="70" w:type="dxa"/>
          <w:right w:w="90" w:type="dxa"/>
        </w:tblCellMar>
        <w:tblLook w:val="04a0" w:noHBand="0" w:noVBand="1" w:firstColumn="1" w:lastRow="0" w:lastColumn="0" w:firstRow="1"/>
      </w:tblPr>
      <w:tblGrid>
        <w:gridCol w:w="3034"/>
        <w:gridCol w:w="2346"/>
        <w:gridCol w:w="2136"/>
        <w:gridCol w:w="648"/>
        <w:gridCol w:w="1636"/>
      </w:tblGrid>
      <w:tr>
        <w:trPr>
          <w:tblHeader w:val="true"/>
          <w:cantSplit w:val="true"/>
        </w:trPr>
        <w:tc>
          <w:tcPr>
            <w:tcW w:w="3034" w:type="dxa"/>
            <w:tcBorders>
              <w:top w:val="single" w:sz="6" w:space="0" w:color="AAB7C4"/>
              <w:left w:val="single" w:sz="6" w:space="0" w:color="AAB7C4"/>
              <w:bottom w:val="single" w:sz="6" w:space="0" w:color="AAB7C4"/>
              <w:right w:val="single" w:sz="6" w:space="0" w:color="AAB7C4"/>
            </w:tcBorders>
            <w:shd w:color="auto" w:fill="17365D" w:val="clear"/>
            <w:vAlign w:val="center"/>
          </w:tcPr>
          <w:p>
            <w:pPr>
              <w:pStyle w:val="Normal"/>
              <w:spacing w:lineRule="auto" w:line="240" w:before="0" w:after="0"/>
              <w:jc w:val="left"/>
              <w:rPr/>
            </w:pPr>
            <w:r>
              <w:rPr>
                <w:rFonts w:eastAsia="Calibri" w:cs="Calibri"/>
                <w:b/>
                <w:bCs/>
                <w:color w:val="FFFFFF"/>
                <w:sz w:val="17"/>
              </w:rPr>
              <w:t>Tâche</w:t>
            </w:r>
          </w:p>
        </w:tc>
        <w:tc>
          <w:tcPr>
            <w:tcW w:w="2346" w:type="dxa"/>
            <w:tcBorders>
              <w:top w:val="single" w:sz="6" w:space="0" w:color="AAB7C4"/>
              <w:left w:val="single" w:sz="6" w:space="0" w:color="AAB7C4"/>
              <w:bottom w:val="single" w:sz="6" w:space="0" w:color="AAB7C4"/>
              <w:right w:val="single" w:sz="6" w:space="0" w:color="AAB7C4"/>
            </w:tcBorders>
            <w:shd w:color="auto" w:fill="17365D" w:val="clear"/>
            <w:vAlign w:val="center"/>
          </w:tcPr>
          <w:p>
            <w:pPr>
              <w:pStyle w:val="Normal"/>
              <w:spacing w:lineRule="auto" w:line="240" w:before="0" w:after="0"/>
              <w:jc w:val="left"/>
              <w:rPr/>
            </w:pPr>
            <w:r>
              <w:rPr>
                <w:rFonts w:eastAsia="Calibri" w:cs="Calibri"/>
                <w:b/>
                <w:bCs/>
                <w:color w:val="FFFFFF"/>
                <w:sz w:val="17"/>
              </w:rPr>
              <w:t>Harry/Quentin (Ingénieur)</w:t>
            </w:r>
          </w:p>
        </w:tc>
        <w:tc>
          <w:tcPr>
            <w:tcW w:w="2136" w:type="dxa"/>
            <w:tcBorders>
              <w:top w:val="single" w:sz="6" w:space="0" w:color="AAB7C4"/>
              <w:left w:val="single" w:sz="6" w:space="0" w:color="AAB7C4"/>
              <w:bottom w:val="single" w:sz="6" w:space="0" w:color="AAB7C4"/>
              <w:right w:val="single" w:sz="6" w:space="0" w:color="AAB7C4"/>
            </w:tcBorders>
            <w:shd w:color="auto" w:fill="17365D" w:val="clear"/>
            <w:vAlign w:val="center"/>
          </w:tcPr>
          <w:p>
            <w:pPr>
              <w:pStyle w:val="Normal"/>
              <w:spacing w:lineRule="auto" w:line="240" w:before="0" w:after="0"/>
              <w:jc w:val="left"/>
              <w:rPr/>
            </w:pPr>
            <w:r>
              <w:rPr>
                <w:rFonts w:eastAsia="Calibri" w:cs="Calibri"/>
                <w:b/>
                <w:bCs/>
                <w:color w:val="FFFFFF"/>
                <w:sz w:val="17"/>
              </w:rPr>
              <w:t>Thibault (Chef de projet)</w:t>
            </w:r>
          </w:p>
        </w:tc>
        <w:tc>
          <w:tcPr>
            <w:tcW w:w="648" w:type="dxa"/>
            <w:tcBorders>
              <w:top w:val="single" w:sz="6" w:space="0" w:color="AAB7C4"/>
              <w:left w:val="single" w:sz="6" w:space="0" w:color="AAB7C4"/>
              <w:bottom w:val="single" w:sz="6" w:space="0" w:color="AAB7C4"/>
              <w:right w:val="single" w:sz="6" w:space="0" w:color="AAB7C4"/>
            </w:tcBorders>
            <w:shd w:color="auto" w:fill="17365D" w:val="clear"/>
            <w:vAlign w:val="center"/>
          </w:tcPr>
          <w:p>
            <w:pPr>
              <w:pStyle w:val="Normal"/>
              <w:spacing w:lineRule="auto" w:line="240" w:before="0" w:after="0"/>
              <w:jc w:val="left"/>
              <w:rPr/>
            </w:pPr>
            <w:r>
              <w:rPr>
                <w:rFonts w:eastAsia="Calibri" w:cs="Calibri"/>
                <w:b/>
                <w:bCs/>
                <w:color w:val="FFFFFF"/>
                <w:sz w:val="17"/>
              </w:rPr>
              <w:t>Atlas</w:t>
            </w:r>
          </w:p>
        </w:tc>
        <w:tc>
          <w:tcPr>
            <w:tcW w:w="1636" w:type="dxa"/>
            <w:tcBorders>
              <w:top w:val="single" w:sz="6" w:space="0" w:color="AAB7C4"/>
              <w:left w:val="single" w:sz="6" w:space="0" w:color="AAB7C4"/>
              <w:bottom w:val="single" w:sz="6" w:space="0" w:color="AAB7C4"/>
              <w:right w:val="single" w:sz="6" w:space="0" w:color="AAB7C4"/>
            </w:tcBorders>
            <w:shd w:color="auto" w:fill="17365D" w:val="clear"/>
            <w:vAlign w:val="center"/>
          </w:tcPr>
          <w:p>
            <w:pPr>
              <w:pStyle w:val="Normal"/>
              <w:spacing w:lineRule="auto" w:line="240" w:before="0" w:after="0"/>
              <w:jc w:val="left"/>
              <w:rPr/>
            </w:pPr>
            <w:r>
              <w:rPr>
                <w:rFonts w:eastAsia="Calibri" w:cs="Calibri"/>
                <w:b/>
                <w:bCs/>
                <w:color w:val="FFFFFF"/>
                <w:sz w:val="17"/>
              </w:rPr>
              <w:t>Kalla (encadrant)</w:t>
            </w:r>
          </w:p>
        </w:tc>
      </w:tr>
      <w:tr>
        <w:trPr>
          <w:cantSplit w:val="true"/>
        </w:trPr>
        <w:tc>
          <w:tcPr>
            <w:tcW w:w="3034"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Architecture réseau &amp; infrastructure</w:t>
            </w:r>
          </w:p>
        </w:tc>
        <w:tc>
          <w:tcPr>
            <w:tcW w:w="2346"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R</w:t>
            </w:r>
          </w:p>
        </w:tc>
        <w:tc>
          <w:tcPr>
            <w:tcW w:w="2136"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A</w:t>
            </w:r>
          </w:p>
        </w:tc>
        <w:tc>
          <w:tcPr>
            <w:tcW w:w="648"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I</w:t>
            </w:r>
          </w:p>
        </w:tc>
        <w:tc>
          <w:tcPr>
            <w:tcW w:w="1636"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C</w:t>
            </w:r>
          </w:p>
        </w:tc>
      </w:tr>
      <w:tr>
        <w:trPr>
          <w:cantSplit w:val="true"/>
        </w:trPr>
        <w:tc>
          <w:tcPr>
            <w:tcW w:w="3034"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Dossier d'architecture technique (DAT)</w:t>
            </w:r>
          </w:p>
        </w:tc>
        <w:tc>
          <w:tcPr>
            <w:tcW w:w="2346"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C</w:t>
            </w:r>
          </w:p>
        </w:tc>
        <w:tc>
          <w:tcPr>
            <w:tcW w:w="2136"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R</w:t>
            </w:r>
          </w:p>
        </w:tc>
        <w:tc>
          <w:tcPr>
            <w:tcW w:w="648"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I</w:t>
            </w:r>
          </w:p>
        </w:tc>
        <w:tc>
          <w:tcPr>
            <w:tcW w:w="1636"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A</w:t>
            </w:r>
          </w:p>
        </w:tc>
      </w:tr>
      <w:tr>
        <w:trPr>
          <w:cantSplit w:val="true"/>
        </w:trPr>
        <w:tc>
          <w:tcPr>
            <w:tcW w:w="3034"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Runbooks PRA (R1-R5)</w:t>
            </w:r>
          </w:p>
        </w:tc>
        <w:tc>
          <w:tcPr>
            <w:tcW w:w="2346"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R</w:t>
            </w:r>
          </w:p>
        </w:tc>
        <w:tc>
          <w:tcPr>
            <w:tcW w:w="2136"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C</w:t>
            </w:r>
          </w:p>
        </w:tc>
        <w:tc>
          <w:tcPr>
            <w:tcW w:w="648"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I</w:t>
            </w:r>
          </w:p>
        </w:tc>
        <w:tc>
          <w:tcPr>
            <w:tcW w:w="1636"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I</w:t>
            </w:r>
          </w:p>
        </w:tc>
      </w:tr>
      <w:tr>
        <w:trPr>
          <w:cantSplit w:val="true"/>
        </w:trPr>
        <w:tc>
          <w:tcPr>
            <w:tcW w:w="3034"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Tests d'incidents (restauration, bascule DR)</w:t>
            </w:r>
          </w:p>
        </w:tc>
        <w:tc>
          <w:tcPr>
            <w:tcW w:w="2346"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R</w:t>
            </w:r>
          </w:p>
        </w:tc>
        <w:tc>
          <w:tcPr>
            <w:tcW w:w="2136"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C</w:t>
            </w:r>
          </w:p>
        </w:tc>
        <w:tc>
          <w:tcPr>
            <w:tcW w:w="648"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I</w:t>
            </w:r>
          </w:p>
        </w:tc>
        <w:tc>
          <w:tcPr>
            <w:tcW w:w="1636"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I</w:t>
            </w:r>
          </w:p>
        </w:tc>
      </w:tr>
      <w:tr>
        <w:trPr>
          <w:cantSplit w:val="true"/>
        </w:trPr>
        <w:tc>
          <w:tcPr>
            <w:tcW w:w="3034"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Budget, objectifs et ressources</w:t>
            </w:r>
          </w:p>
        </w:tc>
        <w:tc>
          <w:tcPr>
            <w:tcW w:w="2346"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C</w:t>
            </w:r>
          </w:p>
        </w:tc>
        <w:tc>
          <w:tcPr>
            <w:tcW w:w="2136"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R</w:t>
            </w:r>
          </w:p>
        </w:tc>
        <w:tc>
          <w:tcPr>
            <w:tcW w:w="648"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C</w:t>
            </w:r>
          </w:p>
        </w:tc>
        <w:tc>
          <w:tcPr>
            <w:tcW w:w="1636"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A</w:t>
            </w:r>
          </w:p>
        </w:tc>
      </w:tr>
      <w:tr>
        <w:trPr>
          <w:cantSplit w:val="true"/>
        </w:trPr>
        <w:tc>
          <w:tcPr>
            <w:tcW w:w="3034"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Matrice de risques &amp; BIA</w:t>
            </w:r>
          </w:p>
        </w:tc>
        <w:tc>
          <w:tcPr>
            <w:tcW w:w="2346"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C</w:t>
            </w:r>
          </w:p>
        </w:tc>
        <w:tc>
          <w:tcPr>
            <w:tcW w:w="2136"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R</w:t>
            </w:r>
          </w:p>
        </w:tc>
        <w:tc>
          <w:tcPr>
            <w:tcW w:w="648"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A</w:t>
            </w:r>
          </w:p>
        </w:tc>
        <w:tc>
          <w:tcPr>
            <w:tcW w:w="1636"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A</w:t>
            </w:r>
          </w:p>
        </w:tc>
      </w:tr>
      <w:tr>
        <w:trPr>
          <w:cantSplit w:val="true"/>
        </w:trPr>
        <w:tc>
          <w:tcPr>
            <w:tcW w:w="3034"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Support de soutenance</w:t>
            </w:r>
          </w:p>
        </w:tc>
        <w:tc>
          <w:tcPr>
            <w:tcW w:w="2346"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R</w:t>
            </w:r>
          </w:p>
        </w:tc>
        <w:tc>
          <w:tcPr>
            <w:tcW w:w="2136"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R</w:t>
            </w:r>
          </w:p>
        </w:tc>
        <w:tc>
          <w:tcPr>
            <w:tcW w:w="648"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I</w:t>
            </w:r>
          </w:p>
        </w:tc>
        <w:tc>
          <w:tcPr>
            <w:tcW w:w="1636"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I</w:t>
            </w:r>
          </w:p>
        </w:tc>
      </w:tr>
      <w:tr>
        <w:trPr>
          <w:cantSplit w:val="true"/>
        </w:trPr>
        <w:tc>
          <w:tcPr>
            <w:tcW w:w="3034"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Transfert de compétences interne</w:t>
            </w:r>
          </w:p>
        </w:tc>
        <w:tc>
          <w:tcPr>
            <w:tcW w:w="2346"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R</w:t>
            </w:r>
          </w:p>
        </w:tc>
        <w:tc>
          <w:tcPr>
            <w:tcW w:w="2136"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R</w:t>
            </w:r>
          </w:p>
        </w:tc>
        <w:tc>
          <w:tcPr>
            <w:tcW w:w="648"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I</w:t>
            </w:r>
          </w:p>
        </w:tc>
        <w:tc>
          <w:tcPr>
            <w:tcW w:w="1636"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I</w:t>
            </w:r>
          </w:p>
        </w:tc>
      </w:tr>
    </w:tbl>
    <w:p>
      <w:pPr>
        <w:pStyle w:val="Normal"/>
        <w:spacing w:before="200" w:after="100"/>
        <w:rPr/>
      </w:pPr>
      <w:r>
        <w:rPr/>
      </w:r>
    </w:p>
    <w:p>
      <w:pPr>
        <w:pStyle w:val="Normal"/>
        <w:rPr>
          <w:b/>
          <w:bCs/>
          <w:color w:val="2E74B5"/>
          <w:sz w:val="26"/>
          <w:szCs w:val="26"/>
        </w:rPr>
      </w:pPr>
      <w:r>
        <w:rPr>
          <w:b/>
          <w:bCs/>
          <w:color w:val="2E74B5"/>
          <w:sz w:val="26"/>
          <w:szCs w:val="26"/>
        </w:rPr>
      </w:r>
    </w:p>
    <w:p>
      <w:pPr>
        <w:pStyle w:val="Heading2"/>
        <w:keepNext w:val="true"/>
        <w:keepLines/>
        <w:spacing w:before="0" w:after="80"/>
        <w:jc w:val="left"/>
        <w:rPr/>
      </w:pPr>
      <w:bookmarkStart w:id="28" w:name="__RefHeading___Toc3061_3772494354"/>
      <w:bookmarkStart w:id="29" w:name="_Toc235035893"/>
      <w:bookmarkEnd w:id="28"/>
      <w:r>
        <w:rPr>
          <w:rFonts w:eastAsia="Calibri" w:cs="Calibri"/>
          <w:b/>
          <w:bCs/>
          <w:color w:val="2E75B6"/>
          <w:sz w:val="25"/>
          <w:lang w:val="fr-FR" w:eastAsia="fr-FR"/>
        </w:rPr>
        <w:t>4.4 Organigramme des acteurs du projet</w:t>
      </w:r>
      <w:bookmarkEnd w:id="29"/>
    </w:p>
    <w:p>
      <w:pPr>
        <w:pStyle w:val="Encadrprojet"/>
        <w:spacing w:before="80" w:after="150"/>
        <w:jc w:val="center"/>
        <w:rPr/>
      </w:pPr>
      <w:r>
        <w:rPr>
          <w:rFonts w:eastAsia="Calibri" w:cs="Calibri"/>
          <w:b/>
          <w:color w:val="24313C"/>
          <w:sz w:val="21"/>
          <w:lang w:val="fr-FR" w:eastAsia="fr-FR"/>
        </w:rPr>
        <w:t>Kalla (encadrant technique et validateur)  →  Équipe projet (Harry, Thibault et Quentin ; rôles répartis, polyvalence exigée)  →  PME Atlas (client fictif et destinataire des livrables).</w:t>
      </w:r>
    </w:p>
    <w:p>
      <w:pPr>
        <w:pStyle w:val="Heading2"/>
        <w:keepNext w:val="true"/>
        <w:keepLines/>
        <w:spacing w:before="180" w:after="80"/>
        <w:jc w:val="left"/>
        <w:rPr/>
      </w:pPr>
      <w:bookmarkStart w:id="30" w:name="__RefHeading___Toc3063_3772494354"/>
      <w:bookmarkStart w:id="31" w:name="_Toc235035894"/>
      <w:bookmarkEnd w:id="30"/>
      <w:r>
        <w:rPr>
          <w:rFonts w:eastAsia="Calibri" w:cs="Calibri"/>
          <w:b/>
          <w:bCs/>
          <w:color w:val="2E75B6"/>
          <w:sz w:val="25"/>
          <w:lang w:val="fr-FR" w:eastAsia="fr-FR"/>
        </w:rPr>
        <w:t>4.5 Carte mentale</w:t>
      </w:r>
      <w:bookmarkEnd w:id="31"/>
    </w:p>
    <w:p>
      <w:pPr>
        <w:pStyle w:val="Notefinaliser"/>
        <w:spacing w:before="60" w:after="150"/>
        <w:rPr/>
      </w:pPr>
      <w:r>
        <w:rPr>
          <w:rFonts w:eastAsia="Calibri" w:cs="Calibri"/>
          <w:i/>
          <w:iCs/>
          <w:color w:val="6B7785"/>
          <w:sz w:val="19"/>
          <w:lang w:val="fr-FR" w:eastAsia="fr-FR"/>
        </w:rPr>
        <w:t>La carte mentale est disponible sur le tableau Miro « Architecture Atlas v2 - OVH (cible) ». Elle est structurée autour de quatre axes : réseau et sécurité, services applicatifs, sauvegardes et PRA, documentation et soutenance. À finaliser : insérer l'export dans la version définitive du dossier.</w:t>
      </w:r>
      <w:r>
        <w:br w:type="page"/>
      </w:r>
    </w:p>
    <w:p>
      <w:pPr>
        <w:pStyle w:val="Heading1"/>
        <w:keepNext w:val="true"/>
        <w:keepLines/>
        <w:spacing w:before="0" w:after="180"/>
        <w:jc w:val="left"/>
        <w:rPr/>
      </w:pPr>
      <w:bookmarkStart w:id="32" w:name="__RefHeading___Toc3065_3772494354"/>
      <w:bookmarkStart w:id="33" w:name="_Toc235035895"/>
      <w:bookmarkEnd w:id="32"/>
      <w:r>
        <w:rPr>
          <w:rFonts w:eastAsia="Calibri" w:cs="Calibri"/>
          <w:b/>
          <w:bCs/>
          <w:color w:val="17365D"/>
          <w:sz w:val="34"/>
          <w:lang w:val="fr-FR" w:eastAsia="fr-FR"/>
        </w:rPr>
        <w:t>5. Référentiel d'exigences</w:t>
      </w:r>
      <w:bookmarkEnd w:id="33"/>
    </w:p>
    <w:p>
      <w:pPr>
        <w:pStyle w:val="Heading2"/>
        <w:keepNext w:val="true"/>
        <w:keepLines/>
        <w:spacing w:before="180" w:after="80"/>
        <w:jc w:val="left"/>
        <w:rPr/>
      </w:pPr>
      <w:bookmarkStart w:id="34" w:name="__RefHeading___Toc3067_3772494354"/>
      <w:bookmarkStart w:id="35" w:name="_Toc235035896"/>
      <w:bookmarkEnd w:id="34"/>
      <w:r>
        <w:rPr>
          <w:rFonts w:eastAsia="Calibri" w:cs="Calibri"/>
          <w:b/>
          <w:bCs/>
          <w:color w:val="2E75B6"/>
          <w:sz w:val="25"/>
          <w:lang w:val="fr-FR" w:eastAsia="fr-FR"/>
        </w:rPr>
        <w:t>5.1 Exigences fonctionnelles</w:t>
      </w:r>
      <w:bookmarkEnd w:id="35"/>
    </w:p>
    <w:p>
      <w:pPr>
        <w:pStyle w:val="ListParagraph"/>
        <w:widowControl/>
        <w:numPr>
          <w:ilvl w:val="0"/>
          <w:numId w:val="102"/>
        </w:numPr>
        <w:spacing w:lineRule="auto" w:line="247" w:before="0" w:after="40"/>
        <w:ind w:hanging="142" w:left="312"/>
        <w:jc w:val="left"/>
        <w:rPr/>
      </w:pPr>
      <w:r>
        <w:rPr>
          <w:rFonts w:eastAsia="Calibri" w:cs="Calibri"/>
          <w:color w:val="24313C"/>
          <w:sz w:val="21"/>
          <w:lang w:val="fr-FR" w:eastAsia="fr-FR"/>
        </w:rPr>
        <w:t>Gestion de tickets (ouverture → affectation → clôture) avec pièces jointes et notification par e-mail.</w:t>
      </w:r>
    </w:p>
    <w:p>
      <w:pPr>
        <w:pStyle w:val="ListParagraph"/>
        <w:widowControl/>
        <w:numPr>
          <w:ilvl w:val="0"/>
          <w:numId w:val="103"/>
        </w:numPr>
        <w:spacing w:lineRule="auto" w:line="247" w:before="0" w:after="40"/>
        <w:ind w:hanging="142" w:left="312"/>
        <w:jc w:val="left"/>
        <w:rPr/>
      </w:pPr>
      <w:r>
        <w:rPr>
          <w:rFonts w:eastAsia="Calibri" w:cs="Calibri"/>
          <w:color w:val="24313C"/>
          <w:sz w:val="21"/>
          <w:lang w:val="fr-FR" w:eastAsia="fr-FR"/>
        </w:rPr>
        <w:t>Comptes agents internes en authentification locale simple.</w:t>
      </w:r>
    </w:p>
    <w:p>
      <w:pPr>
        <w:pStyle w:val="ListParagraph"/>
        <w:widowControl/>
        <w:numPr>
          <w:ilvl w:val="0"/>
          <w:numId w:val="104"/>
        </w:numPr>
        <w:spacing w:lineRule="auto" w:line="247" w:before="0" w:after="40"/>
        <w:ind w:hanging="142" w:left="312"/>
        <w:jc w:val="left"/>
        <w:rPr/>
      </w:pPr>
      <w:r>
        <w:rPr>
          <w:rFonts w:eastAsia="Calibri" w:cs="Calibri"/>
          <w:color w:val="24313C"/>
          <w:sz w:val="21"/>
          <w:lang w:val="fr-FR" w:eastAsia="fr-FR"/>
        </w:rPr>
        <w:t>Rapports de base : volumétrie, SLA simple, catégories.</w:t>
      </w:r>
    </w:p>
    <w:p>
      <w:pPr>
        <w:pStyle w:val="ListParagraph"/>
        <w:widowControl/>
        <w:numPr>
          <w:ilvl w:val="0"/>
          <w:numId w:val="105"/>
        </w:numPr>
        <w:spacing w:lineRule="auto" w:line="247" w:before="0" w:after="40"/>
        <w:ind w:hanging="142" w:left="312"/>
        <w:jc w:val="left"/>
        <w:rPr/>
      </w:pPr>
      <w:r>
        <w:rPr>
          <w:rFonts w:eastAsia="Calibri" w:cs="Calibri"/>
          <w:color w:val="24313C"/>
          <w:sz w:val="21"/>
          <w:lang w:val="fr-FR" w:eastAsia="fr-FR"/>
        </w:rPr>
        <w:t>Interface web accessible en HTTPS avec certificat valide (chaîne de confiance documentée).</w:t>
      </w:r>
    </w:p>
    <w:p>
      <w:pPr>
        <w:pStyle w:val="Heading2"/>
        <w:keepNext w:val="true"/>
        <w:keepLines/>
        <w:spacing w:before="180" w:after="80"/>
        <w:jc w:val="left"/>
        <w:rPr/>
      </w:pPr>
      <w:bookmarkStart w:id="36" w:name="__RefHeading___Toc3069_3772494354"/>
      <w:bookmarkStart w:id="37" w:name="_Toc235035897"/>
      <w:bookmarkEnd w:id="36"/>
      <w:r>
        <w:rPr>
          <w:rFonts w:eastAsia="Calibri" w:cs="Calibri"/>
          <w:b/>
          <w:bCs/>
          <w:color w:val="2E75B6"/>
          <w:sz w:val="25"/>
          <w:lang w:val="fr-FR" w:eastAsia="fr-FR"/>
        </w:rPr>
        <w:t>5.2 Exigences non fonctionnelles</w:t>
      </w:r>
      <w:bookmarkEnd w:id="37"/>
    </w:p>
    <w:p>
      <w:pPr>
        <w:pStyle w:val="ListParagraph"/>
        <w:widowControl/>
        <w:numPr>
          <w:ilvl w:val="0"/>
          <w:numId w:val="106"/>
        </w:numPr>
        <w:spacing w:lineRule="auto" w:line="247" w:before="0" w:after="40"/>
        <w:ind w:hanging="142" w:left="312"/>
        <w:jc w:val="left"/>
        <w:rPr/>
      </w:pPr>
      <w:r>
        <w:rPr>
          <w:rFonts w:eastAsia="Calibri" w:cs="Calibri"/>
          <w:color w:val="24313C"/>
          <w:sz w:val="21"/>
          <w:lang w:val="fr-FR" w:eastAsia="fr-FR"/>
        </w:rPr>
        <w:t>Déploiement sur un plateau virtualisé et segmenté (réseau en zones VLAN étanches).</w:t>
      </w:r>
    </w:p>
    <w:p>
      <w:pPr>
        <w:pStyle w:val="ListParagraph"/>
        <w:widowControl/>
        <w:numPr>
          <w:ilvl w:val="0"/>
          <w:numId w:val="107"/>
        </w:numPr>
        <w:spacing w:lineRule="auto" w:line="247" w:before="0" w:after="40"/>
        <w:ind w:hanging="142" w:left="312"/>
        <w:jc w:val="left"/>
        <w:rPr/>
      </w:pPr>
      <w:r>
        <w:rPr>
          <w:rFonts w:eastAsia="Calibri" w:cs="Calibri"/>
          <w:color w:val="24313C"/>
          <w:sz w:val="21"/>
          <w:lang w:val="fr-FR" w:eastAsia="fr-FR"/>
        </w:rPr>
        <w:t>PRA/DR prouvé : RPO ≤ 20 minutes, RTO ≤ 40 minutes, mesurés et non estimés.</w:t>
      </w:r>
    </w:p>
    <w:p>
      <w:pPr>
        <w:pStyle w:val="ListParagraph"/>
        <w:widowControl/>
        <w:numPr>
          <w:ilvl w:val="0"/>
          <w:numId w:val="108"/>
        </w:numPr>
        <w:spacing w:lineRule="auto" w:line="247" w:before="0" w:after="40"/>
        <w:ind w:hanging="142" w:left="312"/>
        <w:jc w:val="left"/>
        <w:rPr/>
      </w:pPr>
      <w:r>
        <w:rPr>
          <w:rFonts w:eastAsia="Calibri" w:cs="Calibri"/>
          <w:color w:val="24313C"/>
          <w:sz w:val="21"/>
          <w:lang w:val="fr-FR" w:eastAsia="fr-FR"/>
        </w:rPr>
        <w:t>Indicateurs de santé exposés (uptime applicatif, latence base de données, succès des sauvegardes, file d'attente SMTP, disque).</w:t>
      </w:r>
    </w:p>
    <w:p>
      <w:pPr>
        <w:pStyle w:val="ListParagraph"/>
        <w:widowControl/>
        <w:numPr>
          <w:ilvl w:val="0"/>
          <w:numId w:val="109"/>
        </w:numPr>
        <w:spacing w:lineRule="auto" w:line="247" w:before="0" w:after="40"/>
        <w:ind w:hanging="142" w:left="312"/>
        <w:jc w:val="left"/>
        <w:rPr/>
      </w:pPr>
      <w:r>
        <w:rPr>
          <w:rFonts w:eastAsia="Calibri" w:cs="Calibri"/>
          <w:color w:val="24313C"/>
          <w:sz w:val="21"/>
          <w:lang w:val="fr-FR" w:eastAsia="fr-FR"/>
        </w:rPr>
        <w:t>Sauvegardes et restaurations documentées, vérifiées, et testées en conditions réelles.</w:t>
      </w:r>
    </w:p>
    <w:p>
      <w:pPr>
        <w:pStyle w:val="ListParagraph"/>
        <w:widowControl/>
        <w:numPr>
          <w:ilvl w:val="0"/>
          <w:numId w:val="110"/>
        </w:numPr>
        <w:spacing w:lineRule="auto" w:line="247" w:before="0" w:after="40"/>
        <w:ind w:hanging="142" w:left="312"/>
        <w:jc w:val="left"/>
        <w:rPr/>
      </w:pPr>
      <w:r>
        <w:rPr>
          <w:rFonts w:eastAsia="Calibri" w:cs="Calibri"/>
          <w:color w:val="24313C"/>
          <w:sz w:val="21"/>
          <w:lang w:val="fr-FR" w:eastAsia="fr-FR"/>
        </w:rPr>
        <w:t>Traçabilité et procédures rejouables (journal horodaté, runbooks testés par un membre non-auteur).</w:t>
      </w:r>
    </w:p>
    <w:p>
      <w:pPr>
        <w:pStyle w:val="ListParagraph"/>
        <w:widowControl/>
        <w:numPr>
          <w:ilvl w:val="0"/>
          <w:numId w:val="111"/>
        </w:numPr>
        <w:spacing w:lineRule="auto" w:line="247" w:before="0" w:after="40"/>
        <w:ind w:hanging="142" w:left="312"/>
        <w:jc w:val="left"/>
        <w:rPr/>
      </w:pPr>
      <w:r>
        <w:rPr>
          <w:rFonts w:eastAsia="Calibri" w:cs="Calibri"/>
          <w:color w:val="24313C"/>
          <w:sz w:val="21"/>
          <w:lang w:val="fr-FR" w:eastAsia="fr-FR"/>
        </w:rPr>
        <w:t>Sécurité : comptes de service à moindre privilège, chiffrement en transit, durcissement systématique (pas de comptes par défaut), journalisation et horodatage synchronisé.</w:t>
      </w:r>
    </w:p>
    <w:p>
      <w:pPr>
        <w:pStyle w:val="Normal"/>
        <w:rPr>
          <w:b/>
          <w:bCs/>
          <w:color w:val="1F3864"/>
          <w:sz w:val="32"/>
          <w:szCs w:val="32"/>
        </w:rPr>
      </w:pPr>
      <w:r>
        <w:rPr>
          <w:b/>
          <w:bCs/>
          <w:color w:val="1F3864"/>
          <w:sz w:val="32"/>
          <w:szCs w:val="32"/>
        </w:rPr>
      </w:r>
      <w:r>
        <w:br w:type="page"/>
      </w:r>
    </w:p>
    <w:p>
      <w:pPr>
        <w:pStyle w:val="Heading1"/>
        <w:keepNext w:val="true"/>
        <w:keepLines/>
        <w:spacing w:before="0" w:after="180"/>
        <w:jc w:val="left"/>
        <w:rPr/>
      </w:pPr>
      <w:bookmarkStart w:id="38" w:name="__RefHeading___Toc3071_3772494354"/>
      <w:bookmarkStart w:id="39" w:name="_Toc235035898"/>
      <w:bookmarkEnd w:id="38"/>
      <w:r>
        <w:rPr>
          <w:rFonts w:eastAsia="Calibri" w:cs="Calibri"/>
          <w:b/>
          <w:bCs/>
          <w:color w:val="17365D"/>
          <w:sz w:val="34"/>
          <w:lang w:val="fr-FR" w:eastAsia="fr-FR"/>
        </w:rPr>
        <w:t>6. Comparatif des solutions techniques</w:t>
      </w:r>
      <w:bookmarkEnd w:id="39"/>
    </w:p>
    <w:tbl>
      <w:tblPr>
        <w:tblW w:w="10200" w:type="dxa"/>
        <w:jc w:val="left"/>
        <w:tblInd w:w="0" w:type="dxa"/>
        <w:tblLayout w:type="fixed"/>
        <w:tblCellMar>
          <w:top w:w="70" w:type="dxa"/>
          <w:left w:w="90" w:type="dxa"/>
          <w:bottom w:w="70" w:type="dxa"/>
          <w:right w:w="90" w:type="dxa"/>
        </w:tblCellMar>
        <w:tblLook w:val="04a0" w:noHBand="0" w:noVBand="1" w:firstColumn="1" w:lastRow="0" w:lastColumn="0" w:firstRow="1"/>
      </w:tblPr>
      <w:tblGrid>
        <w:gridCol w:w="1510"/>
        <w:gridCol w:w="1864"/>
        <w:gridCol w:w="3279"/>
        <w:gridCol w:w="3546"/>
      </w:tblGrid>
      <w:tr>
        <w:trPr>
          <w:tblHeader w:val="true"/>
          <w:cantSplit w:val="true"/>
        </w:trPr>
        <w:tc>
          <w:tcPr>
            <w:tcW w:w="1510" w:type="dxa"/>
            <w:tcBorders>
              <w:top w:val="single" w:sz="6" w:space="0" w:color="AAB7C4"/>
              <w:left w:val="single" w:sz="6" w:space="0" w:color="AAB7C4"/>
              <w:bottom w:val="single" w:sz="6" w:space="0" w:color="AAB7C4"/>
              <w:right w:val="single" w:sz="6" w:space="0" w:color="AAB7C4"/>
            </w:tcBorders>
            <w:shd w:color="auto" w:fill="17365D" w:val="clear"/>
            <w:vAlign w:val="center"/>
          </w:tcPr>
          <w:p>
            <w:pPr>
              <w:pStyle w:val="Normal"/>
              <w:spacing w:lineRule="auto" w:line="240" w:before="0" w:after="0"/>
              <w:jc w:val="left"/>
              <w:rPr/>
            </w:pPr>
            <w:r>
              <w:rPr>
                <w:rFonts w:eastAsia="Calibri" w:cs="Calibri"/>
                <w:b/>
                <w:bCs/>
                <w:color w:val="FFFFFF"/>
                <w:sz w:val="17"/>
              </w:rPr>
              <w:t>Sujet</w:t>
            </w:r>
          </w:p>
        </w:tc>
        <w:tc>
          <w:tcPr>
            <w:tcW w:w="1864" w:type="dxa"/>
            <w:tcBorders>
              <w:top w:val="single" w:sz="6" w:space="0" w:color="AAB7C4"/>
              <w:left w:val="single" w:sz="6" w:space="0" w:color="AAB7C4"/>
              <w:bottom w:val="single" w:sz="6" w:space="0" w:color="AAB7C4"/>
              <w:right w:val="single" w:sz="6" w:space="0" w:color="AAB7C4"/>
            </w:tcBorders>
            <w:shd w:color="auto" w:fill="17365D" w:val="clear"/>
            <w:vAlign w:val="center"/>
          </w:tcPr>
          <w:p>
            <w:pPr>
              <w:pStyle w:val="Normal"/>
              <w:spacing w:lineRule="auto" w:line="240" w:before="0" w:after="0"/>
              <w:jc w:val="left"/>
              <w:rPr/>
            </w:pPr>
            <w:r>
              <w:rPr>
                <w:rFonts w:eastAsia="Calibri" w:cs="Calibri"/>
                <w:b/>
                <w:bCs/>
                <w:color w:val="FFFFFF"/>
                <w:sz w:val="17"/>
              </w:rPr>
              <w:t>Solution retenue</w:t>
            </w:r>
          </w:p>
        </w:tc>
        <w:tc>
          <w:tcPr>
            <w:tcW w:w="3279" w:type="dxa"/>
            <w:tcBorders>
              <w:top w:val="single" w:sz="6" w:space="0" w:color="AAB7C4"/>
              <w:left w:val="single" w:sz="6" w:space="0" w:color="AAB7C4"/>
              <w:bottom w:val="single" w:sz="6" w:space="0" w:color="AAB7C4"/>
              <w:right w:val="single" w:sz="6" w:space="0" w:color="AAB7C4"/>
            </w:tcBorders>
            <w:shd w:color="auto" w:fill="17365D" w:val="clear"/>
            <w:vAlign w:val="center"/>
          </w:tcPr>
          <w:p>
            <w:pPr>
              <w:pStyle w:val="Normal"/>
              <w:spacing w:lineRule="auto" w:line="240" w:before="0" w:after="0"/>
              <w:jc w:val="left"/>
              <w:rPr/>
            </w:pPr>
            <w:r>
              <w:rPr>
                <w:rFonts w:eastAsia="Calibri" w:cs="Calibri"/>
                <w:b/>
                <w:bCs/>
                <w:color w:val="FFFFFF"/>
                <w:sz w:val="17"/>
              </w:rPr>
              <w:t>Alternative(s) écartée(s)</w:t>
            </w:r>
          </w:p>
        </w:tc>
        <w:tc>
          <w:tcPr>
            <w:tcW w:w="3546" w:type="dxa"/>
            <w:tcBorders>
              <w:top w:val="single" w:sz="6" w:space="0" w:color="AAB7C4"/>
              <w:left w:val="single" w:sz="6" w:space="0" w:color="AAB7C4"/>
              <w:bottom w:val="single" w:sz="6" w:space="0" w:color="AAB7C4"/>
              <w:right w:val="single" w:sz="6" w:space="0" w:color="AAB7C4"/>
            </w:tcBorders>
            <w:shd w:color="auto" w:fill="17365D" w:val="clear"/>
            <w:vAlign w:val="center"/>
          </w:tcPr>
          <w:p>
            <w:pPr>
              <w:pStyle w:val="Normal"/>
              <w:spacing w:lineRule="auto" w:line="240" w:before="0" w:after="0"/>
              <w:jc w:val="left"/>
              <w:rPr/>
            </w:pPr>
            <w:r>
              <w:rPr>
                <w:rFonts w:eastAsia="Calibri" w:cs="Calibri"/>
                <w:b/>
                <w:bCs/>
                <w:color w:val="FFFFFF"/>
                <w:sz w:val="17"/>
              </w:rPr>
              <w:t>Critère de départage</w:t>
            </w:r>
          </w:p>
        </w:tc>
      </w:tr>
      <w:tr>
        <w:trPr>
          <w:cantSplit w:val="true"/>
        </w:trPr>
        <w:tc>
          <w:tcPr>
            <w:tcW w:w="1510"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Pare-feu</w:t>
            </w:r>
          </w:p>
        </w:tc>
        <w:tc>
          <w:tcPr>
            <w:tcW w:w="1864"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OPNsense</w:t>
            </w:r>
          </w:p>
        </w:tc>
        <w:tc>
          <w:tcPr>
            <w:tcW w:w="3279"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pfSense</w:t>
            </w:r>
          </w:p>
        </w:tc>
        <w:tc>
          <w:tcPr>
            <w:tcW w:w="3546"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Licence BSD franche, cadence de mise à jour, API REST, éditeur UE</w:t>
            </w:r>
          </w:p>
        </w:tc>
      </w:tr>
      <w:tr>
        <w:trPr>
          <w:cantSplit w:val="true"/>
        </w:trPr>
        <w:tc>
          <w:tcPr>
            <w:tcW w:w="1510"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Helpdesk</w:t>
            </w:r>
          </w:p>
        </w:tc>
        <w:tc>
          <w:tcPr>
            <w:tcW w:w="1864"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GLPI</w:t>
            </w:r>
          </w:p>
        </w:tc>
        <w:tc>
          <w:tcPr>
            <w:tcW w:w="3279"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Zammad, osTicket</w:t>
            </w:r>
          </w:p>
        </w:tc>
        <w:tc>
          <w:tcPr>
            <w:tcW w:w="3546"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Imposé par le sujet ; référence du marché FR ; flux ITIL, pièces jointes et notifications intégrés</w:t>
            </w:r>
          </w:p>
        </w:tc>
      </w:tr>
      <w:tr>
        <w:trPr>
          <w:cantSplit w:val="true"/>
        </w:trPr>
        <w:tc>
          <w:tcPr>
            <w:tcW w:w="1510"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Supervision</w:t>
            </w:r>
          </w:p>
        </w:tc>
        <w:tc>
          <w:tcPr>
            <w:tcW w:w="1864"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Zabbix</w:t>
            </w:r>
          </w:p>
        </w:tc>
        <w:tc>
          <w:tcPr>
            <w:tcW w:w="3279"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Prometheus/Grafana/Alertmanager, Nagios</w:t>
            </w:r>
          </w:p>
        </w:tc>
        <w:tc>
          <w:tcPr>
            <w:tcW w:w="3546"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Produit intégré (agents, alertes, tableaux de bord) plus lisible pour un jury mixte</w:t>
            </w:r>
          </w:p>
        </w:tc>
      </w:tr>
      <w:tr>
        <w:trPr>
          <w:cantSplit w:val="true"/>
        </w:trPr>
        <w:tc>
          <w:tcPr>
            <w:tcW w:w="1510"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Sauvegarde</w:t>
            </w:r>
          </w:p>
        </w:tc>
        <w:tc>
          <w:tcPr>
            <w:tcW w:w="1864"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Proxmox Backup Server</w:t>
            </w:r>
          </w:p>
        </w:tc>
        <w:tc>
          <w:tcPr>
            <w:tcW w:w="3279"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Bacula, scripts maison</w:t>
            </w:r>
          </w:p>
        </w:tc>
        <w:tc>
          <w:tcPr>
            <w:tcW w:w="3546"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Intégration native PVE, déduplication, vérification, restauration granulaire</w:t>
            </w:r>
          </w:p>
        </w:tc>
      </w:tr>
      <w:tr>
        <w:trPr>
          <w:cantSplit w:val="true"/>
        </w:trPr>
        <w:tc>
          <w:tcPr>
            <w:tcW w:w="1510"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DNS interne</w:t>
            </w:r>
          </w:p>
        </w:tc>
        <w:tc>
          <w:tcPr>
            <w:tcW w:w="1864"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BIND9</w:t>
            </w:r>
          </w:p>
        </w:tc>
        <w:tc>
          <w:tcPr>
            <w:tcW w:w="3279"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dnsmasq, Unbound</w:t>
            </w:r>
          </w:p>
        </w:tc>
        <w:tc>
          <w:tcPr>
            <w:tcW w:w="3546"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Zones autoritaires et récursion contrôlée sur le même service</w:t>
            </w:r>
          </w:p>
        </w:tc>
      </w:tr>
      <w:tr>
        <w:trPr>
          <w:cantSplit w:val="true"/>
        </w:trPr>
        <w:tc>
          <w:tcPr>
            <w:tcW w:w="1510"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Redondance pare-feu</w:t>
            </w:r>
          </w:p>
        </w:tc>
        <w:tc>
          <w:tcPr>
            <w:tcW w:w="1864"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Réplication ZFS + bascule manuelle</w:t>
            </w:r>
          </w:p>
        </w:tc>
        <w:tc>
          <w:tcPr>
            <w:tcW w:w="3279"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CARP/VRRP</w:t>
            </w:r>
          </w:p>
        </w:tc>
        <w:tc>
          <w:tcPr>
            <w:tcW w:w="3546"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RTO exigé (40 min) largement tenu ; CARP jugé sur-dimensionné</w:t>
            </w:r>
          </w:p>
        </w:tc>
      </w:tr>
      <w:tr>
        <w:trPr>
          <w:cantSplit w:val="true"/>
        </w:trPr>
        <w:tc>
          <w:tcPr>
            <w:tcW w:w="1510"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Hébergement</w:t>
            </w:r>
          </w:p>
        </w:tc>
        <w:tc>
          <w:tcPr>
            <w:tcW w:w="1864"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OVH SYS-1 (Varsovie)</w:t>
            </w:r>
          </w:p>
        </w:tc>
        <w:tc>
          <w:tcPr>
            <w:tcW w:w="3279"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Hetzner, Scaleway</w:t>
            </w:r>
          </w:p>
        </w:tc>
        <w:tc>
          <w:tcPr>
            <w:tcW w:w="3546"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Prix, vRack inclus, souveraineté UE, délais de mise en service</w:t>
            </w:r>
          </w:p>
        </w:tc>
      </w:tr>
    </w:tbl>
    <w:p>
      <w:pPr>
        <w:pStyle w:val="Normal"/>
        <w:spacing w:before="200" w:after="100"/>
        <w:rPr/>
      </w:pPr>
      <w:r>
        <w:rPr/>
      </w:r>
    </w:p>
    <w:p>
      <w:pPr>
        <w:pStyle w:val="Heading2"/>
        <w:keepNext w:val="true"/>
        <w:keepLines/>
        <w:spacing w:before="180" w:after="80"/>
        <w:jc w:val="left"/>
        <w:rPr/>
      </w:pPr>
      <w:bookmarkStart w:id="40" w:name="__RefHeading___Toc3073_3772494354"/>
      <w:bookmarkStart w:id="41" w:name="_Toc235035899"/>
      <w:bookmarkEnd w:id="40"/>
      <w:r>
        <w:rPr>
          <w:rFonts w:eastAsia="Calibri" w:cs="Calibri"/>
          <w:b/>
          <w:bCs/>
          <w:color w:val="2E75B6"/>
          <w:sz w:val="25"/>
          <w:lang w:val="fr-FR" w:eastAsia="fr-FR"/>
        </w:rPr>
        <w:t>6.1 Solution préconisée</w:t>
      </w:r>
      <w:bookmarkEnd w:id="41"/>
    </w:p>
    <w:p>
      <w:pPr>
        <w:pStyle w:val="Normal"/>
        <w:widowControl/>
        <w:spacing w:lineRule="auto" w:line="259" w:before="0" w:after="100"/>
        <w:jc w:val="both"/>
        <w:rPr/>
      </w:pPr>
      <w:r>
        <w:rPr>
          <w:rFonts w:eastAsia="Calibri" w:cs="Calibri"/>
          <w:color w:val="24313C"/>
          <w:sz w:val="21"/>
          <w:lang w:val="fr-FR" w:eastAsia="fr-FR"/>
        </w:rPr>
        <w:t>La solution retenue combine des briques open source matures, toutes intégrées nativement à l'écosystème Proxmox/Debian, ce qui réduit la surface d'intégration et facilite la démonstration devant un jury mixte :</w:t>
      </w:r>
    </w:p>
    <w:p>
      <w:pPr>
        <w:pStyle w:val="ListParagraph"/>
        <w:widowControl/>
        <w:numPr>
          <w:ilvl w:val="0"/>
          <w:numId w:val="112"/>
        </w:numPr>
        <w:spacing w:lineRule="auto" w:line="247" w:before="0" w:after="40"/>
        <w:ind w:hanging="142" w:left="312"/>
        <w:jc w:val="left"/>
        <w:rPr/>
      </w:pPr>
      <w:r>
        <w:rPr>
          <w:rFonts w:eastAsia="Calibri" w:cs="Calibri"/>
          <w:color w:val="24313C"/>
          <w:sz w:val="21"/>
          <w:lang w:val="fr-FR" w:eastAsia="fr-FR"/>
        </w:rPr>
        <w:t>OPNsense pour le filtrage et le NAT, avec bascule manuelle documentée comme évolution vers CARP.</w:t>
      </w:r>
    </w:p>
    <w:p>
      <w:pPr>
        <w:pStyle w:val="ListParagraph"/>
        <w:widowControl/>
        <w:numPr>
          <w:ilvl w:val="0"/>
          <w:numId w:val="113"/>
        </w:numPr>
        <w:spacing w:lineRule="auto" w:line="247" w:before="0" w:after="40"/>
        <w:ind w:hanging="142" w:left="312"/>
        <w:jc w:val="left"/>
        <w:rPr/>
      </w:pPr>
      <w:r>
        <w:rPr>
          <w:rFonts w:eastAsia="Calibri" w:cs="Calibri"/>
          <w:color w:val="24313C"/>
          <w:sz w:val="21"/>
          <w:lang w:val="fr-FR" w:eastAsia="fr-FR"/>
        </w:rPr>
        <w:t>GLPI comme portail de tickets, durci (comptes par défaut désactivés, installeur supprimé).</w:t>
      </w:r>
    </w:p>
    <w:p>
      <w:pPr>
        <w:pStyle w:val="ListParagraph"/>
        <w:widowControl/>
        <w:numPr>
          <w:ilvl w:val="0"/>
          <w:numId w:val="114"/>
        </w:numPr>
        <w:spacing w:lineRule="auto" w:line="247" w:before="0" w:after="40"/>
        <w:ind w:hanging="142" w:left="312"/>
        <w:jc w:val="left"/>
        <w:rPr/>
      </w:pPr>
      <w:r>
        <w:rPr>
          <w:rFonts w:eastAsia="Calibri" w:cs="Calibri"/>
          <w:color w:val="24313C"/>
          <w:sz w:val="21"/>
          <w:lang w:val="fr-FR" w:eastAsia="fr-FR"/>
        </w:rPr>
        <w:t>Zabbix pour la supervision, avec un tableau de bord unique dédié au PRA/DR.</w:t>
      </w:r>
    </w:p>
    <w:p>
      <w:pPr>
        <w:pStyle w:val="ListParagraph"/>
        <w:widowControl/>
        <w:numPr>
          <w:ilvl w:val="0"/>
          <w:numId w:val="115"/>
        </w:numPr>
        <w:spacing w:lineRule="auto" w:line="247" w:before="0" w:after="40"/>
        <w:ind w:hanging="142" w:left="312"/>
        <w:jc w:val="left"/>
        <w:rPr/>
      </w:pPr>
      <w:r>
        <w:rPr>
          <w:rFonts w:eastAsia="Calibri" w:cs="Calibri"/>
          <w:color w:val="24313C"/>
          <w:sz w:val="21"/>
          <w:lang w:val="fr-FR" w:eastAsia="fr-FR"/>
        </w:rPr>
        <w:t>Proxmox Backup Server pour des sauvegardes vérifiées quotidiennement, complétées par une réplication ZFS inter-nœuds toutes les 15 minutes.</w:t>
      </w:r>
    </w:p>
    <w:p>
      <w:pPr>
        <w:pStyle w:val="ListParagraph"/>
        <w:widowControl/>
        <w:numPr>
          <w:ilvl w:val="0"/>
          <w:numId w:val="116"/>
        </w:numPr>
        <w:spacing w:lineRule="auto" w:line="247" w:before="0" w:after="40"/>
        <w:ind w:hanging="142" w:left="312"/>
        <w:jc w:val="left"/>
        <w:rPr/>
      </w:pPr>
      <w:r>
        <w:rPr>
          <w:rFonts w:eastAsia="Calibri" w:cs="Calibri"/>
          <w:color w:val="24313C"/>
          <w:sz w:val="21"/>
          <w:lang w:val="fr-FR" w:eastAsia="fr-FR"/>
        </w:rPr>
        <w:t>Hébergement OVH SYS-1 à Varsovie : meilleur compromis prix / latence / réseau privé inclus.</w:t>
      </w:r>
    </w:p>
    <w:p>
      <w:pPr>
        <w:pStyle w:val="Normal"/>
        <w:rPr>
          <w:b/>
          <w:bCs/>
          <w:color w:val="1F3864"/>
          <w:sz w:val="32"/>
          <w:szCs w:val="32"/>
        </w:rPr>
      </w:pPr>
      <w:r>
        <w:rPr>
          <w:b/>
          <w:bCs/>
          <w:color w:val="1F3864"/>
          <w:sz w:val="32"/>
          <w:szCs w:val="32"/>
        </w:rPr>
      </w:r>
      <w:r>
        <w:br w:type="page"/>
      </w:r>
    </w:p>
    <w:p>
      <w:pPr>
        <w:pStyle w:val="Heading1"/>
        <w:keepNext w:val="true"/>
        <w:keepLines/>
        <w:spacing w:before="0" w:after="180"/>
        <w:jc w:val="left"/>
        <w:rPr/>
      </w:pPr>
      <w:bookmarkStart w:id="42" w:name="__RefHeading___Toc3075_3772494354"/>
      <w:bookmarkStart w:id="43" w:name="_Toc235035900"/>
      <w:bookmarkEnd w:id="42"/>
      <w:r>
        <w:rPr>
          <w:rFonts w:eastAsia="Calibri" w:cs="Calibri"/>
          <w:b/>
          <w:bCs/>
          <w:color w:val="17365D"/>
          <w:sz w:val="34"/>
          <w:lang w:val="fr-FR" w:eastAsia="fr-FR"/>
        </w:rPr>
        <w:t>7. Budget et chiffrage</w:t>
      </w:r>
      <w:bookmarkEnd w:id="43"/>
    </w:p>
    <w:p>
      <w:pPr>
        <w:pStyle w:val="Chapeau"/>
        <w:spacing w:before="0" w:after="150"/>
        <w:rPr/>
      </w:pPr>
      <w:r>
        <w:rPr>
          <w:rFonts w:eastAsia="Calibri" w:cs="Calibri"/>
          <w:color w:val="24313C"/>
          <w:sz w:val="21"/>
          <w:lang w:val="fr-FR" w:eastAsia="fr-FR"/>
        </w:rPr>
        <w:t>Objectif budgétaire : fournir à la PME Atlas un portail de tickets interne assorti d'un PRA/DR démontré (RPO ≤ 20 min ; RTO ≤ 40 min), sur une infrastructure virtualisée et segmentée.</w:t>
      </w:r>
    </w:p>
    <w:tbl>
      <w:tblPr>
        <w:tblW w:w="9200" w:type="dxa"/>
        <w:jc w:val="left"/>
        <w:tblInd w:w="0" w:type="dxa"/>
        <w:tblLayout w:type="fixed"/>
        <w:tblCellMar>
          <w:top w:w="70" w:type="dxa"/>
          <w:left w:w="90" w:type="dxa"/>
          <w:bottom w:w="70" w:type="dxa"/>
          <w:right w:w="90" w:type="dxa"/>
        </w:tblCellMar>
        <w:tblLook w:val="04a0" w:noHBand="0" w:noVBand="1" w:firstColumn="1" w:lastRow="0" w:lastColumn="0" w:firstRow="1"/>
      </w:tblPr>
      <w:tblGrid>
        <w:gridCol w:w="6498"/>
        <w:gridCol w:w="2701"/>
      </w:tblGrid>
      <w:tr>
        <w:trPr>
          <w:tblHeader w:val="true"/>
          <w:cantSplit w:val="true"/>
        </w:trPr>
        <w:tc>
          <w:tcPr>
            <w:tcW w:w="6498" w:type="dxa"/>
            <w:tcBorders>
              <w:top w:val="single" w:sz="6" w:space="0" w:color="AAB7C4"/>
              <w:left w:val="single" w:sz="6" w:space="0" w:color="AAB7C4"/>
              <w:bottom w:val="single" w:sz="6" w:space="0" w:color="AAB7C4"/>
              <w:right w:val="single" w:sz="6" w:space="0" w:color="AAB7C4"/>
            </w:tcBorders>
            <w:shd w:color="auto" w:fill="17365D" w:val="clear"/>
            <w:vAlign w:val="center"/>
          </w:tcPr>
          <w:p>
            <w:pPr>
              <w:pStyle w:val="Normal"/>
              <w:spacing w:lineRule="auto" w:line="240" w:before="0" w:after="0"/>
              <w:jc w:val="left"/>
              <w:rPr/>
            </w:pPr>
            <w:r>
              <w:rPr>
                <w:rFonts w:eastAsia="Calibri" w:cs="Calibri"/>
                <w:b/>
                <w:bCs/>
                <w:color w:val="FFFFFF"/>
                <w:sz w:val="17"/>
              </w:rPr>
              <w:t>Poste de dépense</w:t>
            </w:r>
          </w:p>
        </w:tc>
        <w:tc>
          <w:tcPr>
            <w:tcW w:w="2701" w:type="dxa"/>
            <w:tcBorders>
              <w:top w:val="single" w:sz="6" w:space="0" w:color="AAB7C4"/>
              <w:left w:val="single" w:sz="6" w:space="0" w:color="AAB7C4"/>
              <w:bottom w:val="single" w:sz="6" w:space="0" w:color="AAB7C4"/>
              <w:right w:val="single" w:sz="6" w:space="0" w:color="AAB7C4"/>
            </w:tcBorders>
            <w:shd w:color="auto" w:fill="17365D" w:val="clear"/>
            <w:vAlign w:val="center"/>
          </w:tcPr>
          <w:p>
            <w:pPr>
              <w:pStyle w:val="Normal"/>
              <w:spacing w:lineRule="auto" w:line="240" w:before="0" w:after="0"/>
              <w:jc w:val="left"/>
              <w:rPr/>
            </w:pPr>
            <w:r>
              <w:rPr>
                <w:rFonts w:eastAsia="Calibri" w:cs="Calibri"/>
                <w:b/>
                <w:bCs/>
                <w:color w:val="FFFFFF"/>
                <w:sz w:val="17"/>
              </w:rPr>
              <w:t>Coût estimé</w:t>
            </w:r>
          </w:p>
        </w:tc>
      </w:tr>
      <w:tr>
        <w:trPr>
          <w:cantSplit w:val="true"/>
        </w:trPr>
        <w:tc>
          <w:tcPr>
            <w:tcW w:w="6498"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Serveurs OVH SYS-1 (2 × 1 mois, 29,99 € HT/mois)</w:t>
            </w:r>
          </w:p>
        </w:tc>
        <w:tc>
          <w:tcPr>
            <w:tcW w:w="2701"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71,98 € TTC</w:t>
            </w:r>
          </w:p>
        </w:tc>
      </w:tr>
      <w:tr>
        <w:trPr>
          <w:cantSplit w:val="true"/>
        </w:trPr>
        <w:tc>
          <w:tcPr>
            <w:tcW w:w="6498"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Frais d'installation (offerts, promotion)</w:t>
            </w:r>
          </w:p>
        </w:tc>
        <w:tc>
          <w:tcPr>
            <w:tcW w:w="2701"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0,00 €</w:t>
            </w:r>
          </w:p>
        </w:tc>
      </w:tr>
      <w:tr>
        <w:trPr>
          <w:cantSplit w:val="true"/>
        </w:trPr>
        <w:tc>
          <w:tcPr>
            <w:tcW w:w="6498"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Additional IP OVH (WAN public, facturation mensuelle)</w:t>
            </w:r>
          </w:p>
        </w:tc>
        <w:tc>
          <w:tcPr>
            <w:tcW w:w="2701" w:type="dxa"/>
            <w:tcBorders>
              <w:top w:val="single" w:sz="6" w:space="0" w:color="AAB7C4"/>
              <w:left w:val="single" w:sz="6" w:space="0" w:color="AAB7C4"/>
              <w:bottom w:val="single" w:sz="6" w:space="0" w:color="AAB7C4"/>
              <w:right w:val="single" w:sz="6" w:space="0" w:color="AAB7C4"/>
            </w:tcBorders>
            <w:shd w:fill="FFF2CC" w:val="clear"/>
            <w:vAlign w:val="center"/>
          </w:tcPr>
          <w:p>
            <w:pPr>
              <w:pStyle w:val="Normal"/>
              <w:spacing w:lineRule="auto" w:line="240" w:before="0" w:after="0"/>
              <w:jc w:val="left"/>
              <w:rPr/>
            </w:pPr>
            <w:r>
              <w:rPr>
                <w:rFonts w:eastAsia="Calibri" w:cs="Calibri"/>
                <w:b/>
                <w:color w:val="24313C"/>
                <w:sz w:val="17"/>
              </w:rPr>
              <w:t>À compléter : montant figurant sur la facture OVH</w:t>
            </w:r>
          </w:p>
        </w:tc>
      </w:tr>
      <w:tr>
        <w:trPr>
          <w:cantSplit w:val="true"/>
        </w:trPr>
        <w:tc>
          <w:tcPr>
            <w:tcW w:w="6498"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vRack / trafic réseau privé (illimité UE)</w:t>
            </w:r>
          </w:p>
        </w:tc>
        <w:tc>
          <w:tcPr>
            <w:tcW w:w="2701"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inclus — 0,00 €</w:t>
            </w:r>
          </w:p>
        </w:tc>
      </w:tr>
      <w:tr>
        <w:trPr>
          <w:cantSplit w:val="true"/>
        </w:trPr>
        <w:tc>
          <w:tcPr>
            <w:tcW w:w="6498"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Logiciels (Proxmox VE/PBS, OPNsense, Debian, GLPI, MariaDB, Zabbix, BIND9, Postfix, Nginx)</w:t>
            </w:r>
          </w:p>
        </w:tc>
        <w:tc>
          <w:tcPr>
            <w:tcW w:w="2701"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0,00 € (open source)</w:t>
            </w:r>
          </w:p>
        </w:tc>
      </w:tr>
      <w:tr>
        <w:trPr>
          <w:cantSplit w:val="true"/>
        </w:trPr>
        <w:tc>
          <w:tcPr>
            <w:tcW w:w="6498"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Valorisation temps équipe (3 × ≈ 15 h/sem × 3 sem ≈ 135 h ; narratif client 450 €/j)</w:t>
            </w:r>
          </w:p>
        </w:tc>
        <w:tc>
          <w:tcPr>
            <w:tcW w:w="2701"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 xml:space="preserve">≈ </w:t>
            </w:r>
            <w:r>
              <w:rPr>
                <w:rFonts w:eastAsia="Calibri" w:cs="Calibri"/>
                <w:color w:val="24313C"/>
                <w:sz w:val="17"/>
              </w:rPr>
              <w:t>7 600 € (fictif, pour le dossier client)</w:t>
            </w:r>
          </w:p>
        </w:tc>
      </w:tr>
    </w:tbl>
    <w:p>
      <w:pPr>
        <w:pStyle w:val="Normal"/>
        <w:spacing w:before="200" w:after="100"/>
        <w:rPr/>
      </w:pPr>
      <w:r>
        <w:rPr/>
      </w:r>
    </w:p>
    <w:p>
      <w:pPr>
        <w:pStyle w:val="Normal"/>
        <w:widowControl/>
        <w:spacing w:lineRule="auto" w:line="259" w:before="0" w:after="100"/>
        <w:jc w:val="both"/>
        <w:rPr/>
      </w:pPr>
      <w:r>
        <w:rPr>
          <w:rFonts w:eastAsia="Calibri" w:cs="Calibri"/>
          <w:color w:val="24313C"/>
          <w:sz w:val="21"/>
          <w:lang w:val="fr-FR" w:eastAsia="fr-FR"/>
        </w:rPr>
        <w:t>Total réel du POC pour un mois : 59,98 € HT (71,98 € TTC), auxquels s'ajoute le coût mensuel de l'Additional IP. Projection client sur 12 mois : (59,98 € HT + coût mensuel de l'IP) x 12, hors investissement matériel. Le comparatif avec une solution sur site et le coût d'une copie hors site sont détaillés dans le livrable budgétaire. La résiliation de l'hébergement et la suppression des VM sont prévues après la soutenance.</w:t>
      </w:r>
    </w:p>
    <w:p>
      <w:pPr>
        <w:pStyle w:val="Normal"/>
        <w:rPr>
          <w:b/>
          <w:bCs/>
          <w:color w:val="1F3864"/>
          <w:sz w:val="32"/>
          <w:szCs w:val="32"/>
        </w:rPr>
      </w:pPr>
      <w:r>
        <w:rPr>
          <w:b/>
          <w:bCs/>
          <w:color w:val="1F3864"/>
          <w:sz w:val="32"/>
          <w:szCs w:val="32"/>
        </w:rPr>
      </w:r>
      <w:r>
        <w:br w:type="page"/>
      </w:r>
    </w:p>
    <w:p>
      <w:pPr>
        <w:pStyle w:val="Heading1"/>
        <w:keepNext w:val="true"/>
        <w:keepLines/>
        <w:spacing w:before="0" w:after="180"/>
        <w:jc w:val="left"/>
        <w:rPr/>
      </w:pPr>
      <w:bookmarkStart w:id="44" w:name="__RefHeading___Toc3077_3772494354"/>
      <w:bookmarkStart w:id="45" w:name="_Toc235035901"/>
      <w:bookmarkEnd w:id="44"/>
      <w:r>
        <w:rPr>
          <w:rFonts w:eastAsia="Calibri" w:cs="Calibri"/>
          <w:b/>
          <w:bCs/>
          <w:color w:val="17365D"/>
          <w:sz w:val="34"/>
          <w:lang w:val="fr-FR" w:eastAsia="fr-FR"/>
        </w:rPr>
        <w:t>8. Macro-planning</w:t>
      </w:r>
      <w:bookmarkEnd w:id="45"/>
    </w:p>
    <w:tbl>
      <w:tblPr>
        <w:tblW w:w="9200" w:type="dxa"/>
        <w:jc w:val="left"/>
        <w:tblInd w:w="0" w:type="dxa"/>
        <w:tblLayout w:type="fixed"/>
        <w:tblCellMar>
          <w:top w:w="70" w:type="dxa"/>
          <w:left w:w="90" w:type="dxa"/>
          <w:bottom w:w="70" w:type="dxa"/>
          <w:right w:w="90" w:type="dxa"/>
        </w:tblCellMar>
        <w:tblLook w:val="04a0" w:noHBand="0" w:noVBand="1" w:firstColumn="1" w:lastRow="0" w:lastColumn="0" w:firstRow="1"/>
      </w:tblPr>
      <w:tblGrid>
        <w:gridCol w:w="1437"/>
        <w:gridCol w:w="7762"/>
      </w:tblGrid>
      <w:tr>
        <w:trPr>
          <w:tblHeader w:val="true"/>
          <w:cantSplit w:val="true"/>
        </w:trPr>
        <w:tc>
          <w:tcPr>
            <w:tcW w:w="1437" w:type="dxa"/>
            <w:tcBorders>
              <w:top w:val="single" w:sz="6" w:space="0" w:color="AAB7C4"/>
              <w:left w:val="single" w:sz="6" w:space="0" w:color="AAB7C4"/>
              <w:bottom w:val="single" w:sz="6" w:space="0" w:color="AAB7C4"/>
              <w:right w:val="single" w:sz="6" w:space="0" w:color="AAB7C4"/>
            </w:tcBorders>
            <w:shd w:color="auto" w:fill="17365D" w:val="clear"/>
            <w:vAlign w:val="center"/>
          </w:tcPr>
          <w:p>
            <w:pPr>
              <w:pStyle w:val="Normal"/>
              <w:spacing w:lineRule="auto" w:line="240" w:before="0" w:after="0"/>
              <w:jc w:val="left"/>
              <w:rPr/>
            </w:pPr>
            <w:r>
              <w:rPr>
                <w:rFonts w:eastAsia="Calibri" w:cs="Calibri"/>
                <w:b/>
                <w:bCs/>
                <w:color w:val="FFFFFF"/>
                <w:sz w:val="17"/>
              </w:rPr>
              <w:t>Période</w:t>
            </w:r>
          </w:p>
        </w:tc>
        <w:tc>
          <w:tcPr>
            <w:tcW w:w="7762" w:type="dxa"/>
            <w:tcBorders>
              <w:top w:val="single" w:sz="6" w:space="0" w:color="AAB7C4"/>
              <w:left w:val="single" w:sz="6" w:space="0" w:color="AAB7C4"/>
              <w:bottom w:val="single" w:sz="6" w:space="0" w:color="AAB7C4"/>
              <w:right w:val="single" w:sz="6" w:space="0" w:color="AAB7C4"/>
            </w:tcBorders>
            <w:shd w:color="auto" w:fill="17365D" w:val="clear"/>
            <w:vAlign w:val="center"/>
          </w:tcPr>
          <w:p>
            <w:pPr>
              <w:pStyle w:val="Normal"/>
              <w:spacing w:lineRule="auto" w:line="240" w:before="0" w:after="0"/>
              <w:jc w:val="left"/>
              <w:rPr/>
            </w:pPr>
            <w:r>
              <w:rPr>
                <w:rFonts w:eastAsia="Calibri" w:cs="Calibri"/>
                <w:b/>
                <w:bCs/>
                <w:color w:val="FFFFFF"/>
                <w:sz w:val="17"/>
              </w:rPr>
              <w:t>Jalon</w:t>
            </w:r>
          </w:p>
        </w:tc>
      </w:tr>
      <w:tr>
        <w:trPr>
          <w:cantSplit w:val="true"/>
        </w:trPr>
        <w:tc>
          <w:tcPr>
            <w:tcW w:w="1437"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04/07</w:t>
            </w:r>
          </w:p>
        </w:tc>
        <w:tc>
          <w:tcPr>
            <w:tcW w:w="7762"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Interconnexion vRack validée, test de perte d'un nœud (quorum)</w:t>
            </w:r>
          </w:p>
        </w:tc>
      </w:tr>
      <w:tr>
        <w:trPr>
          <w:cantSplit w:val="true"/>
        </w:trPr>
        <w:tc>
          <w:tcPr>
            <w:tcW w:w="1437"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05/07</w:t>
            </w:r>
          </w:p>
        </w:tc>
        <w:tc>
          <w:tcPr>
            <w:tcW w:w="7762"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Recette DNS, binlogs MariaDB, segmentation réseau ; installation de GLPI</w:t>
            </w:r>
          </w:p>
        </w:tc>
      </w:tr>
      <w:tr>
        <w:trPr>
          <w:cantSplit w:val="true"/>
        </w:trPr>
        <w:tc>
          <w:tcPr>
            <w:tcW w:w="1437"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06/07</w:t>
            </w:r>
          </w:p>
        </w:tc>
        <w:tc>
          <w:tcPr>
            <w:tcW w:w="7762"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Migration MGMT en VLAN 90 taggé ; bascule sur l'Additional IP OVH (WAN public)</w:t>
            </w:r>
          </w:p>
        </w:tc>
      </w:tr>
      <w:tr>
        <w:trPr>
          <w:cantSplit w:val="true"/>
        </w:trPr>
        <w:tc>
          <w:tcPr>
            <w:tcW w:w="1437"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10/07</w:t>
            </w:r>
          </w:p>
        </w:tc>
        <w:tc>
          <w:tcPr>
            <w:tcW w:w="7762"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Clôture des travaux WAN (exposition filtrée, redémarrage de validation) ; recette GLPI</w:t>
            </w:r>
          </w:p>
        </w:tc>
      </w:tr>
      <w:tr>
        <w:trPr>
          <w:cantSplit w:val="true"/>
        </w:trPr>
        <w:tc>
          <w:tcPr>
            <w:tcW w:w="1437"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12/07</w:t>
            </w:r>
          </w:p>
        </w:tc>
        <w:tc>
          <w:tcPr>
            <w:tcW w:w="7762"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Reconstruction du modèle de VM (v4) ; mise en service de Proxmox Backup Server ; premier test de restauration (RTO mesuré)</w:t>
            </w:r>
          </w:p>
        </w:tc>
      </w:tr>
      <w:tr>
        <w:trPr>
          <w:cantSplit w:val="true"/>
        </w:trPr>
        <w:tc>
          <w:tcPr>
            <w:tcW w:w="1437"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13-14/07</w:t>
            </w:r>
          </w:p>
        </w:tc>
        <w:tc>
          <w:tcPr>
            <w:tcW w:w="7762"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TLS via CA interne sur le reverse proxy ; VPN d'administration WireGuard ; modèle cloud-init (v5) ; provisionnement du serveur de messagerie</w:t>
            </w:r>
          </w:p>
        </w:tc>
      </w:tr>
      <w:tr>
        <w:trPr>
          <w:cantSplit w:val="true"/>
        </w:trPr>
        <w:tc>
          <w:tcPr>
            <w:tcW w:w="1437"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À venir</w:t>
            </w:r>
          </w:p>
        </w:tc>
        <w:tc>
          <w:tcPr>
            <w:tcW w:w="7762"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Relais SMTP (Postfix) + test ticket vers e-mail ; supervision Zabbix ; réplication 15 min ; matrice de flux finale ; durcissement résiduel</w:t>
            </w:r>
          </w:p>
        </w:tc>
      </w:tr>
      <w:tr>
        <w:trPr>
          <w:cantSplit w:val="true"/>
        </w:trPr>
        <w:tc>
          <w:tcPr>
            <w:tcW w:w="1437"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Avant soutenance</w:t>
            </w:r>
          </w:p>
        </w:tc>
        <w:tc>
          <w:tcPr>
            <w:tcW w:w="7762"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Incidents 1 et 2 en conditions de démonstration ; bascule/retour DR ; gel de l'infrastructure à J-4 ; ≥ 2 répétitions complètes</w:t>
            </w:r>
          </w:p>
        </w:tc>
      </w:tr>
      <w:tr>
        <w:trPr>
          <w:cantSplit w:val="true"/>
        </w:trPr>
        <w:tc>
          <w:tcPr>
            <w:tcW w:w="1437"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Jour J</w:t>
            </w:r>
          </w:p>
        </w:tc>
        <w:tc>
          <w:tcPr>
            <w:tcW w:w="7762"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Soutenance devant Kalla et l'intervenant non technique ; suppression des VM en fin de session</w:t>
            </w:r>
          </w:p>
        </w:tc>
      </w:tr>
    </w:tbl>
    <w:p>
      <w:pPr>
        <w:pStyle w:val="lev1"/>
        <w:rPr/>
      </w:pPr>
      <w:r>
        <w:rPr/>
      </w:r>
    </w:p>
    <w:p>
      <w:pPr>
        <w:pStyle w:val="lev1"/>
        <w:rPr>
          <w:sz w:val="32"/>
          <w:szCs w:val="32"/>
        </w:rPr>
      </w:pPr>
      <w:r>
        <w:rPr>
          <w:sz w:val="32"/>
          <w:szCs w:val="32"/>
        </w:rPr>
      </w:r>
      <w:r>
        <w:br w:type="page"/>
      </w:r>
    </w:p>
    <w:p>
      <w:pPr>
        <w:pStyle w:val="Heading1"/>
        <w:keepNext w:val="true"/>
        <w:keepLines/>
        <w:spacing w:before="0" w:after="180"/>
        <w:jc w:val="left"/>
        <w:rPr/>
      </w:pPr>
      <w:bookmarkStart w:id="46" w:name="__RefHeading___Toc3079_3772494354"/>
      <w:bookmarkEnd w:id="46"/>
      <w:r>
        <w:rPr>
          <w:rFonts w:eastAsia="Calibri" w:cs="Calibri"/>
          <w:b/>
          <w:bCs/>
          <w:color w:val="17365D"/>
          <w:sz w:val="34"/>
          <w:lang w:val="fr-FR" w:eastAsia="fr-FR"/>
        </w:rPr>
        <w:t>9. Risques et stratégie des tests</w:t>
      </w:r>
    </w:p>
    <w:p>
      <w:pPr>
        <w:pStyle w:val="Heading2"/>
        <w:keepNext w:val="true"/>
        <w:keepLines/>
        <w:spacing w:before="180" w:after="80"/>
        <w:jc w:val="left"/>
        <w:rPr/>
      </w:pPr>
      <w:bookmarkStart w:id="47" w:name="__RefHeading___Toc3081_3772494354"/>
      <w:bookmarkStart w:id="48" w:name="_Toc235035903"/>
      <w:bookmarkEnd w:id="47"/>
      <w:r>
        <w:rPr>
          <w:rFonts w:eastAsia="Calibri" w:cs="Calibri"/>
          <w:b/>
          <w:bCs/>
          <w:color w:val="2E75B6"/>
          <w:sz w:val="25"/>
          <w:lang w:val="fr-FR" w:eastAsia="fr-FR"/>
        </w:rPr>
        <w:t>9.1 Matrice des risques (Probabilité x Impact, échelle 1 à 4)</w:t>
      </w:r>
      <w:bookmarkEnd w:id="48"/>
    </w:p>
    <w:tbl>
      <w:tblPr>
        <w:tblW w:w="9200" w:type="dxa"/>
        <w:jc w:val="left"/>
        <w:tblInd w:w="0" w:type="dxa"/>
        <w:tblLayout w:type="fixed"/>
        <w:tblCellMar>
          <w:top w:w="70" w:type="dxa"/>
          <w:left w:w="90" w:type="dxa"/>
          <w:bottom w:w="70" w:type="dxa"/>
          <w:right w:w="90" w:type="dxa"/>
        </w:tblCellMar>
        <w:tblLook w:val="04a0" w:noHBand="0" w:noVBand="1" w:firstColumn="1" w:lastRow="0" w:lastColumn="0" w:firstRow="1"/>
      </w:tblPr>
      <w:tblGrid>
        <w:gridCol w:w="2824"/>
        <w:gridCol w:w="323"/>
        <w:gridCol w:w="300"/>
        <w:gridCol w:w="603"/>
        <w:gridCol w:w="5150"/>
      </w:tblGrid>
      <w:tr>
        <w:trPr>
          <w:tblHeader w:val="true"/>
          <w:cantSplit w:val="true"/>
        </w:trPr>
        <w:tc>
          <w:tcPr>
            <w:tcW w:w="2824" w:type="dxa"/>
            <w:tcBorders>
              <w:top w:val="single" w:sz="6" w:space="0" w:color="AAB7C4"/>
              <w:left w:val="single" w:sz="6" w:space="0" w:color="AAB7C4"/>
              <w:bottom w:val="single" w:sz="6" w:space="0" w:color="AAB7C4"/>
              <w:right w:val="single" w:sz="6" w:space="0" w:color="AAB7C4"/>
            </w:tcBorders>
            <w:shd w:color="auto" w:fill="17365D" w:val="clear"/>
            <w:vAlign w:val="center"/>
          </w:tcPr>
          <w:p>
            <w:pPr>
              <w:pStyle w:val="Normal"/>
              <w:spacing w:lineRule="auto" w:line="240" w:before="0" w:after="0"/>
              <w:jc w:val="left"/>
              <w:rPr/>
            </w:pPr>
            <w:r>
              <w:rPr>
                <w:rFonts w:eastAsia="Calibri" w:cs="Calibri"/>
                <w:b/>
                <w:bCs/>
                <w:color w:val="FFFFFF"/>
                <w:sz w:val="16"/>
              </w:rPr>
              <w:t>Risque</w:t>
            </w:r>
          </w:p>
        </w:tc>
        <w:tc>
          <w:tcPr>
            <w:tcW w:w="323" w:type="dxa"/>
            <w:tcBorders>
              <w:top w:val="single" w:sz="6" w:space="0" w:color="AAB7C4"/>
              <w:left w:val="single" w:sz="6" w:space="0" w:color="AAB7C4"/>
              <w:bottom w:val="single" w:sz="6" w:space="0" w:color="AAB7C4"/>
              <w:right w:val="single" w:sz="6" w:space="0" w:color="AAB7C4"/>
            </w:tcBorders>
            <w:shd w:color="auto" w:fill="17365D" w:val="clear"/>
            <w:vAlign w:val="center"/>
          </w:tcPr>
          <w:p>
            <w:pPr>
              <w:pStyle w:val="Normal"/>
              <w:spacing w:lineRule="auto" w:line="240" w:before="0" w:after="0"/>
              <w:jc w:val="left"/>
              <w:rPr/>
            </w:pPr>
            <w:r>
              <w:rPr>
                <w:rFonts w:eastAsia="Calibri" w:cs="Calibri"/>
                <w:b/>
                <w:bCs/>
                <w:color w:val="FFFFFF"/>
                <w:sz w:val="16"/>
              </w:rPr>
              <w:t>P</w:t>
            </w:r>
          </w:p>
        </w:tc>
        <w:tc>
          <w:tcPr>
            <w:tcW w:w="300" w:type="dxa"/>
            <w:tcBorders>
              <w:top w:val="single" w:sz="6" w:space="0" w:color="AAB7C4"/>
              <w:left w:val="single" w:sz="6" w:space="0" w:color="AAB7C4"/>
              <w:bottom w:val="single" w:sz="6" w:space="0" w:color="AAB7C4"/>
              <w:right w:val="single" w:sz="6" w:space="0" w:color="AAB7C4"/>
            </w:tcBorders>
            <w:shd w:color="auto" w:fill="17365D" w:val="clear"/>
            <w:vAlign w:val="center"/>
          </w:tcPr>
          <w:p>
            <w:pPr>
              <w:pStyle w:val="Normal"/>
              <w:spacing w:lineRule="auto" w:line="240" w:before="0" w:after="0"/>
              <w:jc w:val="left"/>
              <w:rPr/>
            </w:pPr>
            <w:r>
              <w:rPr>
                <w:rFonts w:eastAsia="Calibri" w:cs="Calibri"/>
                <w:b/>
                <w:bCs/>
                <w:color w:val="FFFFFF"/>
                <w:sz w:val="16"/>
              </w:rPr>
              <w:t>I</w:t>
            </w:r>
          </w:p>
        </w:tc>
        <w:tc>
          <w:tcPr>
            <w:tcW w:w="603" w:type="dxa"/>
            <w:tcBorders>
              <w:top w:val="single" w:sz="6" w:space="0" w:color="AAB7C4"/>
              <w:left w:val="single" w:sz="6" w:space="0" w:color="AAB7C4"/>
              <w:bottom w:val="single" w:sz="6" w:space="0" w:color="AAB7C4"/>
              <w:right w:val="single" w:sz="6" w:space="0" w:color="AAB7C4"/>
            </w:tcBorders>
            <w:shd w:color="auto" w:fill="17365D" w:val="clear"/>
            <w:vAlign w:val="center"/>
          </w:tcPr>
          <w:p>
            <w:pPr>
              <w:pStyle w:val="Normal"/>
              <w:spacing w:lineRule="auto" w:line="240" w:before="0" w:after="0"/>
              <w:jc w:val="left"/>
              <w:rPr/>
            </w:pPr>
            <w:r>
              <w:rPr>
                <w:rFonts w:eastAsia="Calibri" w:cs="Calibri"/>
                <w:b/>
                <w:bCs/>
                <w:color w:val="FFFFFF"/>
                <w:sz w:val="16"/>
              </w:rPr>
              <w:t>Crit.</w:t>
            </w:r>
          </w:p>
        </w:tc>
        <w:tc>
          <w:tcPr>
            <w:tcW w:w="5150" w:type="dxa"/>
            <w:tcBorders>
              <w:top w:val="single" w:sz="6" w:space="0" w:color="AAB7C4"/>
              <w:left w:val="single" w:sz="6" w:space="0" w:color="AAB7C4"/>
              <w:bottom w:val="single" w:sz="6" w:space="0" w:color="AAB7C4"/>
              <w:right w:val="single" w:sz="6" w:space="0" w:color="AAB7C4"/>
            </w:tcBorders>
            <w:shd w:color="auto" w:fill="17365D" w:val="clear"/>
            <w:vAlign w:val="center"/>
          </w:tcPr>
          <w:p>
            <w:pPr>
              <w:pStyle w:val="Normal"/>
              <w:spacing w:lineRule="auto" w:line="240" w:before="0" w:after="0"/>
              <w:jc w:val="left"/>
              <w:rPr/>
            </w:pPr>
            <w:r>
              <w:rPr>
                <w:rFonts w:eastAsia="Calibri" w:cs="Calibri"/>
                <w:b/>
                <w:bCs/>
                <w:color w:val="FFFFFF"/>
                <w:sz w:val="16"/>
              </w:rPr>
              <w:t>Mitigation en place</w:t>
            </w:r>
          </w:p>
        </w:tc>
      </w:tr>
      <w:tr>
        <w:trPr>
          <w:cantSplit w:val="true"/>
        </w:trPr>
        <w:tc>
          <w:tcPr>
            <w:tcW w:w="2824"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6"/>
              </w:rPr>
              <w:t>Perte d'un hyperviseur</w:t>
            </w:r>
          </w:p>
        </w:tc>
        <w:tc>
          <w:tcPr>
            <w:tcW w:w="323"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6"/>
              </w:rPr>
              <w:t>2</w:t>
            </w:r>
          </w:p>
        </w:tc>
        <w:tc>
          <w:tcPr>
            <w:tcW w:w="300"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6"/>
              </w:rPr>
              <w:t>4</w:t>
            </w:r>
          </w:p>
        </w:tc>
        <w:tc>
          <w:tcPr>
            <w:tcW w:w="603"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6"/>
              </w:rPr>
              <w:t>8</w:t>
            </w:r>
          </w:p>
        </w:tc>
        <w:tc>
          <w:tcPr>
            <w:tcW w:w="5150"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6"/>
              </w:rPr>
              <w:t>Cluster + QDevice + réplication 15 min + runbook R4</w:t>
            </w:r>
          </w:p>
        </w:tc>
      </w:tr>
      <w:tr>
        <w:trPr>
          <w:cantSplit w:val="true"/>
        </w:trPr>
        <w:tc>
          <w:tcPr>
            <w:tcW w:w="2824"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6"/>
              </w:rPr>
              <w:t>Erreur humaine (suppression de tickets)</w:t>
            </w:r>
          </w:p>
        </w:tc>
        <w:tc>
          <w:tcPr>
            <w:tcW w:w="323"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6"/>
              </w:rPr>
              <w:t>3</w:t>
            </w:r>
          </w:p>
        </w:tc>
        <w:tc>
          <w:tcPr>
            <w:tcW w:w="300"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6"/>
              </w:rPr>
              <w:t>3</w:t>
            </w:r>
          </w:p>
        </w:tc>
        <w:tc>
          <w:tcPr>
            <w:tcW w:w="603"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6"/>
              </w:rPr>
              <w:t>9</w:t>
            </w:r>
          </w:p>
        </w:tc>
        <w:tc>
          <w:tcPr>
            <w:tcW w:w="5150"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6"/>
              </w:rPr>
              <w:t>Binlogs ROW + dump quotidien + runbook R3</w:t>
            </w:r>
          </w:p>
        </w:tc>
      </w:tr>
      <w:tr>
        <w:trPr>
          <w:cantSplit w:val="true"/>
        </w:trPr>
        <w:tc>
          <w:tcPr>
            <w:tcW w:w="2824"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6"/>
              </w:rPr>
              <w:t>Corruption ou perte d'une VM</w:t>
            </w:r>
          </w:p>
        </w:tc>
        <w:tc>
          <w:tcPr>
            <w:tcW w:w="323"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6"/>
              </w:rPr>
              <w:t>2</w:t>
            </w:r>
          </w:p>
        </w:tc>
        <w:tc>
          <w:tcPr>
            <w:tcW w:w="300"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6"/>
              </w:rPr>
              <w:t>4</w:t>
            </w:r>
          </w:p>
        </w:tc>
        <w:tc>
          <w:tcPr>
            <w:tcW w:w="603"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6"/>
              </w:rPr>
              <w:t>8</w:t>
            </w:r>
          </w:p>
        </w:tc>
        <w:tc>
          <w:tcPr>
            <w:tcW w:w="5150"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6"/>
              </w:rPr>
              <w:t>PBS quotidien + vérification + runbook R2</w:t>
            </w:r>
          </w:p>
        </w:tc>
      </w:tr>
      <w:tr>
        <w:trPr>
          <w:cantSplit w:val="true"/>
        </w:trPr>
        <w:tc>
          <w:tcPr>
            <w:tcW w:w="2824"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6"/>
              </w:rPr>
              <w:t>Compromission d'un compte administrateur</w:t>
            </w:r>
          </w:p>
        </w:tc>
        <w:tc>
          <w:tcPr>
            <w:tcW w:w="323"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6"/>
              </w:rPr>
              <w:t>2</w:t>
            </w:r>
          </w:p>
        </w:tc>
        <w:tc>
          <w:tcPr>
            <w:tcW w:w="300"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6"/>
              </w:rPr>
              <w:t>4</w:t>
            </w:r>
          </w:p>
        </w:tc>
        <w:tc>
          <w:tcPr>
            <w:tcW w:w="603"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6"/>
              </w:rPr>
              <w:t>8</w:t>
            </w:r>
          </w:p>
        </w:tc>
        <w:tc>
          <w:tcPr>
            <w:tcW w:w="5150"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6"/>
              </w:rPr>
              <w:t>Clés SSH uniquement, comptes nominatifs, journalisation</w:t>
            </w:r>
          </w:p>
        </w:tc>
      </w:tr>
      <w:tr>
        <w:trPr>
          <w:cantSplit w:val="true"/>
        </w:trPr>
        <w:tc>
          <w:tcPr>
            <w:tcW w:w="2824"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6"/>
              </w:rPr>
              <w:t>Panne du pare-feu (SPOF assumé)</w:t>
            </w:r>
          </w:p>
        </w:tc>
        <w:tc>
          <w:tcPr>
            <w:tcW w:w="323"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6"/>
              </w:rPr>
              <w:t>2</w:t>
            </w:r>
          </w:p>
        </w:tc>
        <w:tc>
          <w:tcPr>
            <w:tcW w:w="300"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6"/>
              </w:rPr>
              <w:t>4</w:t>
            </w:r>
          </w:p>
        </w:tc>
        <w:tc>
          <w:tcPr>
            <w:tcW w:w="603"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6"/>
              </w:rPr>
              <w:t>8</w:t>
            </w:r>
          </w:p>
        </w:tc>
        <w:tc>
          <w:tcPr>
            <w:tcW w:w="5150"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6"/>
              </w:rPr>
              <w:t>Réplique ZFS + redémarrage (RTO ≈ 3 min mesuré) ; CARP documenté en évolution</w:t>
            </w:r>
          </w:p>
        </w:tc>
      </w:tr>
      <w:tr>
        <w:trPr>
          <w:cantSplit w:val="true"/>
        </w:trPr>
        <w:tc>
          <w:tcPr>
            <w:tcW w:w="2824"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6"/>
              </w:rPr>
              <w:t>Indisponibilité du centre de données OVH</w:t>
            </w:r>
          </w:p>
        </w:tc>
        <w:tc>
          <w:tcPr>
            <w:tcW w:w="323"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6"/>
              </w:rPr>
              <w:t>1</w:t>
            </w:r>
          </w:p>
        </w:tc>
        <w:tc>
          <w:tcPr>
            <w:tcW w:w="300"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6"/>
              </w:rPr>
              <w:t>4</w:t>
            </w:r>
          </w:p>
        </w:tc>
        <w:tc>
          <w:tcPr>
            <w:tcW w:w="603"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6"/>
              </w:rPr>
              <w:t>4</w:t>
            </w:r>
          </w:p>
        </w:tc>
        <w:tc>
          <w:tcPr>
            <w:tcW w:w="5150"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6"/>
              </w:rPr>
              <w:t>Sauvegardes ; copie hors site à l'étude</w:t>
            </w:r>
          </w:p>
        </w:tc>
      </w:tr>
      <w:tr>
        <w:trPr>
          <w:cantSplit w:val="true"/>
        </w:trPr>
        <w:tc>
          <w:tcPr>
            <w:tcW w:w="2824"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6"/>
              </w:rPr>
              <w:t>Échec de la démonstration en soutenance</w:t>
            </w:r>
          </w:p>
        </w:tc>
        <w:tc>
          <w:tcPr>
            <w:tcW w:w="323"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6"/>
              </w:rPr>
              <w:t>2</w:t>
            </w:r>
          </w:p>
        </w:tc>
        <w:tc>
          <w:tcPr>
            <w:tcW w:w="300"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6"/>
              </w:rPr>
              <w:t>4</w:t>
            </w:r>
          </w:p>
        </w:tc>
        <w:tc>
          <w:tcPr>
            <w:tcW w:w="603"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6"/>
              </w:rPr>
              <w:t>8</w:t>
            </w:r>
          </w:p>
        </w:tc>
        <w:tc>
          <w:tcPr>
            <w:tcW w:w="5150"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6"/>
              </w:rPr>
              <w:t>Deux répétitions complètes, liste de contrôle dédiée, captures de secours</w:t>
            </w:r>
          </w:p>
        </w:tc>
      </w:tr>
    </w:tbl>
    <w:p>
      <w:pPr>
        <w:pStyle w:val="Normal"/>
        <w:spacing w:before="200" w:after="100"/>
        <w:rPr/>
      </w:pPr>
      <w:r>
        <w:rPr/>
      </w:r>
    </w:p>
    <w:p>
      <w:pPr>
        <w:pStyle w:val="Heading2"/>
        <w:keepNext w:val="true"/>
        <w:keepLines/>
        <w:spacing w:before="180" w:after="80"/>
        <w:jc w:val="left"/>
        <w:rPr/>
      </w:pPr>
      <w:bookmarkStart w:id="49" w:name="__RefHeading___Toc3083_3772494354"/>
      <w:bookmarkStart w:id="50" w:name="_Toc235035904"/>
      <w:bookmarkEnd w:id="49"/>
      <w:r>
        <w:rPr>
          <w:rFonts w:eastAsia="Calibri" w:cs="Calibri"/>
          <w:b/>
          <w:bCs/>
          <w:color w:val="2E75B6"/>
          <w:sz w:val="25"/>
          <w:lang w:val="fr-FR" w:eastAsia="fr-FR"/>
        </w:rPr>
        <w:t>9.2 Critères de réussite - Tests techniques</w:t>
      </w:r>
      <w:bookmarkEnd w:id="50"/>
    </w:p>
    <w:tbl>
      <w:tblPr>
        <w:tblW w:w="9000" w:type="dxa"/>
        <w:jc w:val="left"/>
        <w:tblInd w:w="0" w:type="dxa"/>
        <w:tblLayout w:type="fixed"/>
        <w:tblCellMar>
          <w:top w:w="70" w:type="dxa"/>
          <w:left w:w="90" w:type="dxa"/>
          <w:bottom w:w="70" w:type="dxa"/>
          <w:right w:w="90" w:type="dxa"/>
        </w:tblCellMar>
        <w:tblLook w:val="04a0" w:noHBand="0" w:noVBand="1" w:firstColumn="1" w:lastRow="0" w:lastColumn="0" w:firstRow="1"/>
      </w:tblPr>
      <w:tblGrid>
        <w:gridCol w:w="3023"/>
        <w:gridCol w:w="5976"/>
      </w:tblGrid>
      <w:tr>
        <w:trPr>
          <w:tblHeader w:val="true"/>
          <w:cantSplit w:val="true"/>
        </w:trPr>
        <w:tc>
          <w:tcPr>
            <w:tcW w:w="3023" w:type="dxa"/>
            <w:tcBorders>
              <w:top w:val="single" w:sz="6" w:space="0" w:color="AAB7C4"/>
              <w:left w:val="single" w:sz="6" w:space="0" w:color="AAB7C4"/>
              <w:bottom w:val="single" w:sz="6" w:space="0" w:color="AAB7C4"/>
              <w:right w:val="single" w:sz="6" w:space="0" w:color="AAB7C4"/>
            </w:tcBorders>
            <w:shd w:color="auto" w:fill="17365D" w:val="clear"/>
            <w:vAlign w:val="center"/>
          </w:tcPr>
          <w:p>
            <w:pPr>
              <w:pStyle w:val="Normal"/>
              <w:spacing w:lineRule="auto" w:line="240" w:before="0" w:after="0"/>
              <w:jc w:val="left"/>
              <w:rPr/>
            </w:pPr>
            <w:r>
              <w:rPr>
                <w:rFonts w:eastAsia="Calibri" w:cs="Calibri"/>
                <w:b/>
                <w:bCs/>
                <w:color w:val="FFFFFF"/>
                <w:sz w:val="16"/>
              </w:rPr>
              <w:t>Test</w:t>
            </w:r>
          </w:p>
        </w:tc>
        <w:tc>
          <w:tcPr>
            <w:tcW w:w="5976" w:type="dxa"/>
            <w:tcBorders>
              <w:top w:val="single" w:sz="6" w:space="0" w:color="AAB7C4"/>
              <w:left w:val="single" w:sz="6" w:space="0" w:color="AAB7C4"/>
              <w:bottom w:val="single" w:sz="6" w:space="0" w:color="AAB7C4"/>
              <w:right w:val="single" w:sz="6" w:space="0" w:color="AAB7C4"/>
            </w:tcBorders>
            <w:shd w:color="auto" w:fill="17365D" w:val="clear"/>
            <w:vAlign w:val="center"/>
          </w:tcPr>
          <w:p>
            <w:pPr>
              <w:pStyle w:val="Normal"/>
              <w:spacing w:lineRule="auto" w:line="240" w:before="0" w:after="0"/>
              <w:jc w:val="left"/>
              <w:rPr/>
            </w:pPr>
            <w:r>
              <w:rPr>
                <w:rFonts w:eastAsia="Calibri" w:cs="Calibri"/>
                <w:b/>
                <w:bCs/>
                <w:color w:val="FFFFFF"/>
                <w:sz w:val="16"/>
              </w:rPr>
              <w:t>Critère de réussite</w:t>
            </w:r>
          </w:p>
        </w:tc>
      </w:tr>
      <w:tr>
        <w:trPr>
          <w:cantSplit w:val="true"/>
        </w:trPr>
        <w:tc>
          <w:tcPr>
            <w:tcW w:w="3023"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6"/>
              </w:rPr>
              <w:t>Interconnexion et quorum du cluster</w:t>
            </w:r>
          </w:p>
        </w:tc>
        <w:tc>
          <w:tcPr>
            <w:tcW w:w="5976"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6"/>
              </w:rPr>
              <w:t>Latence &lt; 1 ms, quorum conservé à la perte d'un nœud, réintégration &lt; 60 s</w:t>
            </w:r>
          </w:p>
        </w:tc>
      </w:tr>
      <w:tr>
        <w:trPr>
          <w:cantSplit w:val="true"/>
        </w:trPr>
        <w:tc>
          <w:tcPr>
            <w:tcW w:w="3023"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6"/>
              </w:rPr>
              <w:t>Segmentation réseau</w:t>
            </w:r>
          </w:p>
        </w:tc>
        <w:tc>
          <w:tcPr>
            <w:tcW w:w="5976"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6"/>
              </w:rPr>
              <w:t>Trafic inter-VLAN bloqué par défaut, sans règle explicite</w:t>
            </w:r>
          </w:p>
        </w:tc>
      </w:tr>
      <w:tr>
        <w:trPr>
          <w:cantSplit w:val="true"/>
        </w:trPr>
        <w:tc>
          <w:tcPr>
            <w:tcW w:w="3023"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6"/>
              </w:rPr>
              <w:t>Sauvegarde et vérification</w:t>
            </w:r>
          </w:p>
        </w:tc>
        <w:tc>
          <w:tcPr>
            <w:tcW w:w="5976"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6"/>
              </w:rPr>
              <w:t>Tâches au statut vert, taux de succès mesuré, vérification 0 erreur</w:t>
            </w:r>
          </w:p>
        </w:tc>
      </w:tr>
      <w:tr>
        <w:trPr>
          <w:cantSplit w:val="true"/>
        </w:trPr>
        <w:tc>
          <w:tcPr>
            <w:tcW w:w="3023"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6"/>
              </w:rPr>
              <w:t>Restauration complète (incident 1)</w:t>
            </w:r>
          </w:p>
        </w:tc>
        <w:tc>
          <w:tcPr>
            <w:tcW w:w="5976"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6"/>
              </w:rPr>
              <w:t>RTO mesuré ≤ 40 min</w:t>
            </w:r>
          </w:p>
        </w:tc>
      </w:tr>
      <w:tr>
        <w:trPr>
          <w:cantSplit w:val="true"/>
        </w:trPr>
        <w:tc>
          <w:tcPr>
            <w:tcW w:w="3023"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6"/>
              </w:rPr>
              <w:t>Restauration granulaire (incident 2)</w:t>
            </w:r>
          </w:p>
        </w:tc>
        <w:tc>
          <w:tcPr>
            <w:tcW w:w="5976"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6"/>
              </w:rPr>
              <w:t xml:space="preserve">≥ </w:t>
            </w:r>
            <w:r>
              <w:rPr>
                <w:rFonts w:eastAsia="Calibri" w:cs="Calibri"/>
                <w:color w:val="24313C"/>
                <w:sz w:val="16"/>
              </w:rPr>
              <w:t>10 tickets restaurés, tickets postérieurs intacts, RPO ≤ 20 min</w:t>
            </w:r>
          </w:p>
        </w:tc>
      </w:tr>
      <w:tr>
        <w:trPr>
          <w:cantSplit w:val="true"/>
        </w:trPr>
        <w:tc>
          <w:tcPr>
            <w:tcW w:w="3023"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6"/>
              </w:rPr>
              <w:t>Bascule DR et retour</w:t>
            </w:r>
          </w:p>
        </w:tc>
        <w:tc>
          <w:tcPr>
            <w:tcW w:w="5976"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6"/>
              </w:rPr>
              <w:t>Service re-rendu, delta de données ≤ 15 min, retour sans perte</w:t>
            </w:r>
          </w:p>
        </w:tc>
      </w:tr>
      <w:tr>
        <w:trPr>
          <w:cantSplit w:val="true"/>
        </w:trPr>
        <w:tc>
          <w:tcPr>
            <w:tcW w:w="3023"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6"/>
              </w:rPr>
              <w:t>Redémarrage à froid de chaque service</w:t>
            </w:r>
          </w:p>
        </w:tc>
        <w:tc>
          <w:tcPr>
            <w:tcW w:w="5976"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6"/>
              </w:rPr>
              <w:t>IP et services reviennent seuls, sans intervention manuelle</w:t>
            </w:r>
          </w:p>
        </w:tc>
      </w:tr>
    </w:tbl>
    <w:p>
      <w:pPr>
        <w:pStyle w:val="Normal"/>
        <w:spacing w:before="200" w:after="100"/>
        <w:rPr/>
      </w:pPr>
      <w:r>
        <w:rPr/>
      </w:r>
    </w:p>
    <w:p>
      <w:pPr>
        <w:pStyle w:val="Normal"/>
        <w:rPr>
          <w:b/>
          <w:bCs/>
          <w:color w:val="2E74B5"/>
          <w:sz w:val="26"/>
          <w:szCs w:val="26"/>
        </w:rPr>
      </w:pPr>
      <w:r>
        <w:rPr>
          <w:b/>
          <w:bCs/>
          <w:color w:val="2E74B5"/>
          <w:sz w:val="26"/>
          <w:szCs w:val="26"/>
        </w:rPr>
      </w:r>
      <w:r>
        <w:br w:type="page"/>
      </w:r>
    </w:p>
    <w:p>
      <w:pPr>
        <w:pStyle w:val="Heading2"/>
        <w:keepNext w:val="true"/>
        <w:keepLines/>
        <w:spacing w:before="0" w:after="80"/>
        <w:jc w:val="left"/>
        <w:rPr/>
      </w:pPr>
      <w:bookmarkStart w:id="51" w:name="__RefHeading___Toc3085_3772494354"/>
      <w:bookmarkStart w:id="52" w:name="_Toc235035905"/>
      <w:bookmarkEnd w:id="51"/>
      <w:r>
        <w:rPr>
          <w:rFonts w:eastAsia="Calibri" w:cs="Calibri"/>
          <w:b/>
          <w:bCs/>
          <w:color w:val="2E75B6"/>
          <w:sz w:val="25"/>
          <w:lang w:val="fr-FR" w:eastAsia="fr-FR"/>
        </w:rPr>
        <w:t>9.3 Critères de réussite - Expérience utilisateur</w:t>
      </w:r>
      <w:bookmarkEnd w:id="52"/>
    </w:p>
    <w:tbl>
      <w:tblPr>
        <w:tblW w:w="9000" w:type="dxa"/>
        <w:jc w:val="left"/>
        <w:tblInd w:w="0" w:type="dxa"/>
        <w:tblLayout w:type="fixed"/>
        <w:tblCellMar>
          <w:top w:w="70" w:type="dxa"/>
          <w:left w:w="90" w:type="dxa"/>
          <w:bottom w:w="70" w:type="dxa"/>
          <w:right w:w="90" w:type="dxa"/>
        </w:tblCellMar>
        <w:tblLook w:val="04a0" w:noHBand="0" w:noVBand="1" w:firstColumn="1" w:lastRow="0" w:lastColumn="0" w:firstRow="1"/>
      </w:tblPr>
      <w:tblGrid>
        <w:gridCol w:w="3412"/>
        <w:gridCol w:w="5587"/>
      </w:tblGrid>
      <w:tr>
        <w:trPr>
          <w:tblHeader w:val="true"/>
          <w:cantSplit w:val="true"/>
        </w:trPr>
        <w:tc>
          <w:tcPr>
            <w:tcW w:w="3412" w:type="dxa"/>
            <w:tcBorders>
              <w:top w:val="single" w:sz="6" w:space="0" w:color="AAB7C4"/>
              <w:left w:val="single" w:sz="6" w:space="0" w:color="AAB7C4"/>
              <w:bottom w:val="single" w:sz="6" w:space="0" w:color="AAB7C4"/>
              <w:right w:val="single" w:sz="6" w:space="0" w:color="AAB7C4"/>
            </w:tcBorders>
            <w:shd w:color="auto" w:fill="17365D" w:val="clear"/>
            <w:vAlign w:val="center"/>
          </w:tcPr>
          <w:p>
            <w:pPr>
              <w:pStyle w:val="Normal"/>
              <w:spacing w:lineRule="auto" w:line="240" w:before="0" w:after="0"/>
              <w:jc w:val="left"/>
              <w:rPr/>
            </w:pPr>
            <w:r>
              <w:rPr>
                <w:rFonts w:eastAsia="Calibri" w:cs="Calibri"/>
                <w:b/>
                <w:bCs/>
                <w:color w:val="FFFFFF"/>
                <w:sz w:val="17"/>
              </w:rPr>
              <w:t>Test</w:t>
            </w:r>
          </w:p>
        </w:tc>
        <w:tc>
          <w:tcPr>
            <w:tcW w:w="5587" w:type="dxa"/>
            <w:tcBorders>
              <w:top w:val="single" w:sz="6" w:space="0" w:color="AAB7C4"/>
              <w:left w:val="single" w:sz="6" w:space="0" w:color="AAB7C4"/>
              <w:bottom w:val="single" w:sz="6" w:space="0" w:color="AAB7C4"/>
              <w:right w:val="single" w:sz="6" w:space="0" w:color="AAB7C4"/>
            </w:tcBorders>
            <w:shd w:color="auto" w:fill="17365D" w:val="clear"/>
            <w:vAlign w:val="center"/>
          </w:tcPr>
          <w:p>
            <w:pPr>
              <w:pStyle w:val="Normal"/>
              <w:spacing w:lineRule="auto" w:line="240" w:before="0" w:after="0"/>
              <w:jc w:val="left"/>
              <w:rPr/>
            </w:pPr>
            <w:r>
              <w:rPr>
                <w:rFonts w:eastAsia="Calibri" w:cs="Calibri"/>
                <w:b/>
                <w:bCs/>
                <w:color w:val="FFFFFF"/>
                <w:sz w:val="17"/>
              </w:rPr>
              <w:t>Critère de réussite</w:t>
            </w:r>
          </w:p>
        </w:tc>
      </w:tr>
      <w:tr>
        <w:trPr>
          <w:cantSplit w:val="true"/>
        </w:trPr>
        <w:tc>
          <w:tcPr>
            <w:tcW w:w="3412"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Création d'un ticket avec pièce jointe</w:t>
            </w:r>
          </w:p>
        </w:tc>
        <w:tc>
          <w:tcPr>
            <w:tcW w:w="5587"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Ticket créé, pièce jointe liée</w:t>
            </w:r>
          </w:p>
        </w:tc>
      </w:tr>
      <w:tr>
        <w:trPr>
          <w:cantSplit w:val="true"/>
        </w:trPr>
        <w:tc>
          <w:tcPr>
            <w:tcW w:w="3412"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Notification par e-mail à la création</w:t>
            </w:r>
          </w:p>
        </w:tc>
        <w:tc>
          <w:tcPr>
            <w:tcW w:w="5587"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E-mail reçu en moins d'une minute</w:t>
            </w:r>
          </w:p>
        </w:tc>
      </w:tr>
      <w:tr>
        <w:trPr>
          <w:cantSplit w:val="true"/>
        </w:trPr>
        <w:tc>
          <w:tcPr>
            <w:tcW w:w="3412"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Affectation, suivi, résolution, clôture</w:t>
            </w:r>
          </w:p>
        </w:tc>
        <w:tc>
          <w:tcPr>
            <w:tcW w:w="5587"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Statuts corrects, e-mail à chaque étape</w:t>
            </w:r>
          </w:p>
        </w:tc>
      </w:tr>
      <w:tr>
        <w:trPr>
          <w:cantSplit w:val="true"/>
        </w:trPr>
        <w:tc>
          <w:tcPr>
            <w:tcW w:w="3412"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Recherche, filtres et rapport de volumétrie</w:t>
            </w:r>
          </w:p>
        </w:tc>
        <w:tc>
          <w:tcPr>
            <w:tcW w:w="5587"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Résultats cohérents</w:t>
            </w:r>
          </w:p>
        </w:tc>
      </w:tr>
      <w:tr>
        <w:trPr>
          <w:cantSplit w:val="true"/>
        </w:trPr>
        <w:tc>
          <w:tcPr>
            <w:tcW w:w="3412"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Accès HTTPS</w:t>
            </w:r>
          </w:p>
        </w:tc>
        <w:tc>
          <w:tcPr>
            <w:tcW w:w="5587"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Certificat valide ou confiance documentée, aucune alerte non expliquée</w:t>
            </w:r>
          </w:p>
        </w:tc>
      </w:tr>
    </w:tbl>
    <w:p>
      <w:pPr>
        <w:pStyle w:val="Normal"/>
        <w:spacing w:before="200" w:after="100"/>
        <w:rPr/>
      </w:pPr>
      <w:r>
        <w:rPr/>
      </w:r>
    </w:p>
    <w:p>
      <w:pPr>
        <w:pStyle w:val="Heading2"/>
        <w:keepNext w:val="true"/>
        <w:keepLines/>
        <w:spacing w:before="180" w:after="80"/>
        <w:jc w:val="left"/>
        <w:rPr/>
      </w:pPr>
      <w:bookmarkStart w:id="53" w:name="__RefHeading___Toc3087_3772494354"/>
      <w:bookmarkStart w:id="54" w:name="_Toc235035906"/>
      <w:bookmarkEnd w:id="53"/>
      <w:r>
        <w:rPr>
          <w:rFonts w:eastAsia="Calibri" w:cs="Calibri"/>
          <w:b/>
          <w:bCs/>
          <w:color w:val="2E75B6"/>
          <w:sz w:val="25"/>
          <w:lang w:val="fr-FR" w:eastAsia="fr-FR"/>
        </w:rPr>
        <w:t>9.4 Indicateurs clés de performance (KPI)</w:t>
      </w:r>
      <w:bookmarkEnd w:id="54"/>
    </w:p>
    <w:tbl>
      <w:tblPr>
        <w:tblW w:w="9000" w:type="dxa"/>
        <w:jc w:val="left"/>
        <w:tblInd w:w="0" w:type="dxa"/>
        <w:tblLayout w:type="fixed"/>
        <w:tblCellMar>
          <w:top w:w="70" w:type="dxa"/>
          <w:left w:w="90" w:type="dxa"/>
          <w:bottom w:w="70" w:type="dxa"/>
          <w:right w:w="90" w:type="dxa"/>
        </w:tblCellMar>
        <w:tblLook w:val="04a0" w:noHBand="0" w:noVBand="1" w:firstColumn="1" w:lastRow="0" w:lastColumn="0" w:firstRow="1"/>
      </w:tblPr>
      <w:tblGrid>
        <w:gridCol w:w="2949"/>
        <w:gridCol w:w="1497"/>
        <w:gridCol w:w="4554"/>
      </w:tblGrid>
      <w:tr>
        <w:trPr>
          <w:tblHeader w:val="true"/>
          <w:cantSplit w:val="true"/>
        </w:trPr>
        <w:tc>
          <w:tcPr>
            <w:tcW w:w="2949" w:type="dxa"/>
            <w:tcBorders>
              <w:top w:val="single" w:sz="6" w:space="0" w:color="AAB7C4"/>
              <w:left w:val="single" w:sz="6" w:space="0" w:color="AAB7C4"/>
              <w:bottom w:val="single" w:sz="6" w:space="0" w:color="AAB7C4"/>
              <w:right w:val="single" w:sz="6" w:space="0" w:color="AAB7C4"/>
            </w:tcBorders>
            <w:shd w:color="auto" w:fill="17365D" w:val="clear"/>
            <w:vAlign w:val="center"/>
          </w:tcPr>
          <w:p>
            <w:pPr>
              <w:pStyle w:val="Normal"/>
              <w:spacing w:lineRule="auto" w:line="240" w:before="0" w:after="0"/>
              <w:jc w:val="left"/>
              <w:rPr/>
            </w:pPr>
            <w:r>
              <w:rPr>
                <w:rFonts w:eastAsia="Calibri" w:cs="Calibri"/>
                <w:b/>
                <w:bCs/>
                <w:color w:val="FFFFFF"/>
                <w:sz w:val="17"/>
              </w:rPr>
              <w:t>Indicateur</w:t>
            </w:r>
          </w:p>
        </w:tc>
        <w:tc>
          <w:tcPr>
            <w:tcW w:w="1497" w:type="dxa"/>
            <w:tcBorders>
              <w:top w:val="single" w:sz="6" w:space="0" w:color="AAB7C4"/>
              <w:left w:val="single" w:sz="6" w:space="0" w:color="AAB7C4"/>
              <w:bottom w:val="single" w:sz="6" w:space="0" w:color="AAB7C4"/>
              <w:right w:val="single" w:sz="6" w:space="0" w:color="AAB7C4"/>
            </w:tcBorders>
            <w:shd w:color="auto" w:fill="17365D" w:val="clear"/>
            <w:vAlign w:val="center"/>
          </w:tcPr>
          <w:p>
            <w:pPr>
              <w:pStyle w:val="Normal"/>
              <w:spacing w:lineRule="auto" w:line="240" w:before="0" w:after="0"/>
              <w:jc w:val="left"/>
              <w:rPr/>
            </w:pPr>
            <w:r>
              <w:rPr>
                <w:rFonts w:eastAsia="Calibri" w:cs="Calibri"/>
                <w:b/>
                <w:bCs/>
                <w:color w:val="FFFFFF"/>
                <w:sz w:val="17"/>
              </w:rPr>
              <w:t>Cible</w:t>
            </w:r>
          </w:p>
        </w:tc>
        <w:tc>
          <w:tcPr>
            <w:tcW w:w="4554" w:type="dxa"/>
            <w:tcBorders>
              <w:top w:val="single" w:sz="6" w:space="0" w:color="AAB7C4"/>
              <w:left w:val="single" w:sz="6" w:space="0" w:color="AAB7C4"/>
              <w:bottom w:val="single" w:sz="6" w:space="0" w:color="AAB7C4"/>
              <w:right w:val="single" w:sz="6" w:space="0" w:color="AAB7C4"/>
            </w:tcBorders>
            <w:shd w:color="auto" w:fill="17365D" w:val="clear"/>
            <w:vAlign w:val="center"/>
          </w:tcPr>
          <w:p>
            <w:pPr>
              <w:pStyle w:val="Normal"/>
              <w:spacing w:lineRule="auto" w:line="240" w:before="0" w:after="0"/>
              <w:jc w:val="left"/>
              <w:rPr/>
            </w:pPr>
            <w:r>
              <w:rPr>
                <w:rFonts w:eastAsia="Calibri" w:cs="Calibri"/>
                <w:b/>
                <w:bCs/>
                <w:color w:val="FFFFFF"/>
                <w:sz w:val="17"/>
              </w:rPr>
              <w:t>Mesure obtenue à ce stade</w:t>
            </w:r>
          </w:p>
        </w:tc>
      </w:tr>
      <w:tr>
        <w:trPr>
          <w:cantSplit w:val="true"/>
        </w:trPr>
        <w:tc>
          <w:tcPr>
            <w:tcW w:w="2949"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RTO (restauration complète)</w:t>
            </w:r>
          </w:p>
        </w:tc>
        <w:tc>
          <w:tcPr>
            <w:tcW w:w="1497"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 xml:space="preserve">≤ </w:t>
            </w:r>
            <w:r>
              <w:rPr>
                <w:rFonts w:eastAsia="Calibri" w:cs="Calibri"/>
                <w:color w:val="24313C"/>
                <w:sz w:val="17"/>
              </w:rPr>
              <w:t>40 min</w:t>
            </w:r>
          </w:p>
        </w:tc>
        <w:tc>
          <w:tcPr>
            <w:tcW w:w="4554"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Restauration technique 18 s ; test bout-en-bout complet 8 min 21 s (marge ×5 à ×15)</w:t>
            </w:r>
          </w:p>
        </w:tc>
      </w:tr>
      <w:tr>
        <w:trPr>
          <w:cantSplit w:val="true"/>
        </w:trPr>
        <w:tc>
          <w:tcPr>
            <w:tcW w:w="2949"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RPO (restauration granulaire)</w:t>
            </w:r>
          </w:p>
        </w:tc>
        <w:tc>
          <w:tcPr>
            <w:tcW w:w="1497"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 xml:space="preserve">≤ </w:t>
            </w:r>
            <w:r>
              <w:rPr>
                <w:rFonts w:eastAsia="Calibri" w:cs="Calibri"/>
                <w:color w:val="24313C"/>
                <w:sz w:val="17"/>
              </w:rPr>
              <w:t>20 min</w:t>
            </w:r>
          </w:p>
        </w:tc>
        <w:tc>
          <w:tcPr>
            <w:tcW w:w="4554"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En cours de démonstration (runbook R3)</w:t>
            </w:r>
          </w:p>
        </w:tc>
      </w:tr>
      <w:tr>
        <w:trPr>
          <w:cantSplit w:val="true"/>
        </w:trPr>
        <w:tc>
          <w:tcPr>
            <w:tcW w:w="2949"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Coupure lors d'un redémarrage de validation du pare-feu</w:t>
            </w:r>
          </w:p>
        </w:tc>
        <w:tc>
          <w:tcPr>
            <w:tcW w:w="1497"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la plus courte possible</w:t>
            </w:r>
          </w:p>
        </w:tc>
        <w:tc>
          <w:tcPr>
            <w:tcW w:w="4554"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 xml:space="preserve">≈ </w:t>
            </w:r>
            <w:r>
              <w:rPr>
                <w:rFonts w:eastAsia="Calibri" w:cs="Calibri"/>
                <w:color w:val="24313C"/>
                <w:sz w:val="17"/>
              </w:rPr>
              <w:t>45 s mesurés</w:t>
            </w:r>
          </w:p>
        </w:tc>
      </w:tr>
      <w:tr>
        <w:trPr>
          <w:cantSplit w:val="true"/>
        </w:trPr>
        <w:tc>
          <w:tcPr>
            <w:tcW w:w="2949"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Sauvegarde incrémentale quotidienne</w:t>
            </w:r>
          </w:p>
        </w:tc>
        <w:tc>
          <w:tcPr>
            <w:tcW w:w="1497"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statut vert</w:t>
            </w:r>
          </w:p>
        </w:tc>
        <w:tc>
          <w:tcPr>
            <w:tcW w:w="4554"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4 s (dirty-bitmaps), vérification 4/4 sans erreur</w:t>
            </w:r>
          </w:p>
        </w:tc>
      </w:tr>
      <w:tr>
        <w:trPr>
          <w:cantSplit w:val="true"/>
        </w:trPr>
        <w:tc>
          <w:tcPr>
            <w:tcW w:w="2949"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Taux de succès des sauvegardes sur la période</w:t>
            </w:r>
          </w:p>
        </w:tc>
        <w:tc>
          <w:tcPr>
            <w:tcW w:w="1497"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100 %</w:t>
            </w:r>
          </w:p>
        </w:tc>
        <w:tc>
          <w:tcPr>
            <w:tcW w:w="4554"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2 / 2 tâches réussies à ce stade</w:t>
            </w:r>
          </w:p>
        </w:tc>
      </w:tr>
    </w:tbl>
    <w:p>
      <w:pPr>
        <w:pStyle w:val="lev1"/>
        <w:rPr/>
      </w:pPr>
      <w:r>
        <w:rPr/>
      </w:r>
    </w:p>
    <w:p>
      <w:pPr>
        <w:pStyle w:val="lev1"/>
        <w:rPr>
          <w:sz w:val="32"/>
          <w:szCs w:val="32"/>
        </w:rPr>
      </w:pPr>
      <w:r>
        <w:rPr>
          <w:sz w:val="32"/>
          <w:szCs w:val="32"/>
        </w:rPr>
      </w:r>
      <w:r>
        <w:br w:type="page"/>
      </w:r>
    </w:p>
    <w:p>
      <w:pPr>
        <w:pStyle w:val="Heading1"/>
        <w:keepNext w:val="true"/>
        <w:keepLines/>
        <w:spacing w:before="0" w:after="180"/>
        <w:jc w:val="left"/>
        <w:rPr/>
      </w:pPr>
      <w:bookmarkStart w:id="55" w:name="__RefHeading___Toc3089_3772494354"/>
      <w:bookmarkEnd w:id="55"/>
      <w:r>
        <w:rPr>
          <w:rFonts w:eastAsia="Calibri" w:cs="Calibri"/>
          <w:b/>
          <w:bCs/>
          <w:color w:val="17365D"/>
          <w:sz w:val="34"/>
          <w:lang w:val="fr-FR" w:eastAsia="fr-FR"/>
        </w:rPr>
        <w:t>10. Stratégie d'accompagnement au changement</w:t>
      </w:r>
    </w:p>
    <w:p>
      <w:pPr>
        <w:pStyle w:val="Heading2"/>
        <w:keepNext w:val="true"/>
        <w:keepLines/>
        <w:spacing w:before="180" w:after="80"/>
        <w:jc w:val="left"/>
        <w:rPr/>
      </w:pPr>
      <w:bookmarkStart w:id="56" w:name="__RefHeading___Toc3091_3772494354"/>
      <w:bookmarkStart w:id="57" w:name="_Toc235035908"/>
      <w:bookmarkEnd w:id="56"/>
      <w:r>
        <w:rPr>
          <w:rFonts w:eastAsia="Calibri" w:cs="Calibri"/>
          <w:b/>
          <w:bCs/>
          <w:color w:val="2E75B6"/>
          <w:sz w:val="25"/>
          <w:lang w:val="fr-FR" w:eastAsia="fr-FR"/>
        </w:rPr>
        <w:t>10.1 Objectif</w:t>
      </w:r>
      <w:bookmarkEnd w:id="57"/>
    </w:p>
    <w:p>
      <w:pPr>
        <w:pStyle w:val="Normal"/>
        <w:widowControl/>
        <w:spacing w:lineRule="auto" w:line="259" w:before="0" w:after="100"/>
        <w:jc w:val="both"/>
        <w:rPr/>
      </w:pPr>
      <w:r>
        <w:rPr>
          <w:rFonts w:eastAsia="Calibri" w:cs="Calibri"/>
          <w:color w:val="24313C"/>
          <w:sz w:val="21"/>
          <w:lang w:val="fr-FR" w:eastAsia="fr-FR"/>
        </w:rPr>
        <w:t>Faciliter l'adoption du nouveau portail de tickets par les employés de la PME Atlas, tout en garantissant que l'équipe projet elle-même — et pas seulement un seul membre — maîtrise l'intégralité de la plateforme, condition posée par l'encadrant (« n'importe qui présente tout »).</w:t>
      </w:r>
    </w:p>
    <w:p>
      <w:pPr>
        <w:pStyle w:val="Heading2"/>
        <w:keepNext w:val="true"/>
        <w:keepLines/>
        <w:spacing w:before="180" w:after="80"/>
        <w:jc w:val="left"/>
        <w:rPr/>
      </w:pPr>
      <w:bookmarkStart w:id="58" w:name="__RefHeading___Toc3093_3772494354"/>
      <w:bookmarkStart w:id="59" w:name="_Toc235035909"/>
      <w:bookmarkEnd w:id="58"/>
      <w:r>
        <w:rPr>
          <w:rFonts w:eastAsia="Calibri" w:cs="Calibri"/>
          <w:b/>
          <w:bCs/>
          <w:color w:val="2E75B6"/>
          <w:sz w:val="25"/>
          <w:lang w:val="fr-FR" w:eastAsia="fr-FR"/>
        </w:rPr>
        <w:t>10.2 Dispositif de formation et de communication</w:t>
      </w:r>
      <w:bookmarkEnd w:id="59"/>
    </w:p>
    <w:tbl>
      <w:tblPr>
        <w:tblW w:w="9000" w:type="dxa"/>
        <w:jc w:val="left"/>
        <w:tblInd w:w="0" w:type="dxa"/>
        <w:tblLayout w:type="fixed"/>
        <w:tblCellMar>
          <w:top w:w="70" w:type="dxa"/>
          <w:left w:w="90" w:type="dxa"/>
          <w:bottom w:w="70" w:type="dxa"/>
          <w:right w:w="90" w:type="dxa"/>
        </w:tblCellMar>
        <w:tblLook w:val="04a0" w:noHBand="0" w:noVBand="1" w:firstColumn="1" w:lastRow="0" w:lastColumn="0" w:firstRow="1"/>
      </w:tblPr>
      <w:tblGrid>
        <w:gridCol w:w="5481"/>
        <w:gridCol w:w="2619"/>
        <w:gridCol w:w="900"/>
      </w:tblGrid>
      <w:tr>
        <w:trPr>
          <w:tblHeader w:val="true"/>
          <w:cantSplit w:val="true"/>
        </w:trPr>
        <w:tc>
          <w:tcPr>
            <w:tcW w:w="5481" w:type="dxa"/>
            <w:tcBorders>
              <w:top w:val="single" w:sz="6" w:space="0" w:color="AAB7C4"/>
              <w:left w:val="single" w:sz="6" w:space="0" w:color="AAB7C4"/>
              <w:bottom w:val="single" w:sz="6" w:space="0" w:color="AAB7C4"/>
              <w:right w:val="single" w:sz="6" w:space="0" w:color="AAB7C4"/>
            </w:tcBorders>
            <w:shd w:color="auto" w:fill="17365D" w:val="clear"/>
            <w:vAlign w:val="center"/>
          </w:tcPr>
          <w:p>
            <w:pPr>
              <w:pStyle w:val="Normal"/>
              <w:spacing w:lineRule="auto" w:line="240" w:before="0" w:after="0"/>
              <w:jc w:val="left"/>
              <w:rPr/>
            </w:pPr>
            <w:r>
              <w:rPr>
                <w:rFonts w:eastAsia="Calibri" w:cs="Calibri"/>
                <w:b/>
                <w:bCs/>
                <w:color w:val="FFFFFF"/>
                <w:sz w:val="17"/>
              </w:rPr>
              <w:t>Session</w:t>
            </w:r>
          </w:p>
        </w:tc>
        <w:tc>
          <w:tcPr>
            <w:tcW w:w="2619" w:type="dxa"/>
            <w:tcBorders>
              <w:top w:val="single" w:sz="6" w:space="0" w:color="AAB7C4"/>
              <w:left w:val="single" w:sz="6" w:space="0" w:color="AAB7C4"/>
              <w:bottom w:val="single" w:sz="6" w:space="0" w:color="AAB7C4"/>
              <w:right w:val="single" w:sz="6" w:space="0" w:color="AAB7C4"/>
            </w:tcBorders>
            <w:shd w:color="auto" w:fill="17365D" w:val="clear"/>
            <w:vAlign w:val="center"/>
          </w:tcPr>
          <w:p>
            <w:pPr>
              <w:pStyle w:val="Normal"/>
              <w:spacing w:lineRule="auto" w:line="240" w:before="0" w:after="0"/>
              <w:jc w:val="left"/>
              <w:rPr/>
            </w:pPr>
            <w:r>
              <w:rPr>
                <w:rFonts w:eastAsia="Calibri" w:cs="Calibri"/>
                <w:b/>
                <w:bCs/>
                <w:color w:val="FFFFFF"/>
                <w:sz w:val="17"/>
              </w:rPr>
              <w:t>Public</w:t>
            </w:r>
          </w:p>
        </w:tc>
        <w:tc>
          <w:tcPr>
            <w:tcW w:w="900" w:type="dxa"/>
            <w:tcBorders>
              <w:top w:val="single" w:sz="6" w:space="0" w:color="AAB7C4"/>
              <w:left w:val="single" w:sz="6" w:space="0" w:color="AAB7C4"/>
              <w:bottom w:val="single" w:sz="6" w:space="0" w:color="AAB7C4"/>
              <w:right w:val="single" w:sz="6" w:space="0" w:color="AAB7C4"/>
            </w:tcBorders>
            <w:shd w:color="auto" w:fill="17365D" w:val="clear"/>
            <w:vAlign w:val="center"/>
          </w:tcPr>
          <w:p>
            <w:pPr>
              <w:pStyle w:val="Normal"/>
              <w:spacing w:lineRule="auto" w:line="240" w:before="0" w:after="0"/>
              <w:jc w:val="left"/>
              <w:rPr/>
            </w:pPr>
            <w:r>
              <w:rPr>
                <w:rFonts w:eastAsia="Calibri" w:cs="Calibri"/>
                <w:b/>
                <w:bCs/>
                <w:color w:val="FFFFFF"/>
                <w:sz w:val="17"/>
              </w:rPr>
              <w:t>Durée</w:t>
            </w:r>
          </w:p>
        </w:tc>
      </w:tr>
      <w:tr>
        <w:trPr>
          <w:cantSplit w:val="true"/>
        </w:trPr>
        <w:tc>
          <w:tcPr>
            <w:tcW w:w="5481"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Architecture &amp; réseau</w:t>
            </w:r>
          </w:p>
        </w:tc>
        <w:tc>
          <w:tcPr>
            <w:tcW w:w="2619"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Administrateur système</w:t>
            </w:r>
          </w:p>
        </w:tc>
        <w:tc>
          <w:tcPr>
            <w:tcW w:w="900"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2 h</w:t>
            </w:r>
          </w:p>
        </w:tc>
      </w:tr>
      <w:tr>
        <w:trPr>
          <w:cantSplit w:val="true"/>
        </w:trPr>
        <w:tc>
          <w:tcPr>
            <w:tcW w:w="5481"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Exploitation quotidienne (GLPI, tableau de bord)</w:t>
            </w:r>
          </w:p>
        </w:tc>
        <w:tc>
          <w:tcPr>
            <w:tcW w:w="2619"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Technicien helpdesk</w:t>
            </w:r>
          </w:p>
        </w:tc>
        <w:tc>
          <w:tcPr>
            <w:tcW w:w="900"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2 h</w:t>
            </w:r>
          </w:p>
        </w:tc>
      </w:tr>
      <w:tr>
        <w:trPr>
          <w:cantSplit w:val="true"/>
        </w:trPr>
        <w:tc>
          <w:tcPr>
            <w:tcW w:w="5481"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Sauvegardes &amp; restaurations (déroulé en autonomie)</w:t>
            </w:r>
          </w:p>
        </w:tc>
        <w:tc>
          <w:tcPr>
            <w:tcW w:w="2619"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Référent PRA</w:t>
            </w:r>
          </w:p>
        </w:tc>
        <w:tc>
          <w:tcPr>
            <w:tcW w:w="900"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3 h</w:t>
            </w:r>
          </w:p>
        </w:tc>
      </w:tr>
      <w:tr>
        <w:trPr>
          <w:cantSplit w:val="true"/>
        </w:trPr>
        <w:tc>
          <w:tcPr>
            <w:tcW w:w="5481"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PRA / bascule DR (simulation à blanc)</w:t>
            </w:r>
          </w:p>
        </w:tc>
        <w:tc>
          <w:tcPr>
            <w:tcW w:w="2619"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Référent PRA</w:t>
            </w:r>
          </w:p>
        </w:tc>
        <w:tc>
          <w:tcPr>
            <w:tcW w:w="900" w:type="dxa"/>
            <w:tcBorders>
              <w:top w:val="single" w:sz="6" w:space="0" w:color="AAB7C4"/>
              <w:left w:val="single" w:sz="6" w:space="0" w:color="AAB7C4"/>
              <w:bottom w:val="single" w:sz="6" w:space="0" w:color="AAB7C4"/>
              <w:right w:val="single" w:sz="6" w:space="0" w:color="AAB7C4"/>
            </w:tcBorders>
            <w:shd w:color="auto" w:fill="F3F5F7" w:val="clear"/>
            <w:vAlign w:val="center"/>
          </w:tcPr>
          <w:p>
            <w:pPr>
              <w:pStyle w:val="Normal"/>
              <w:spacing w:lineRule="auto" w:line="240" w:before="0" w:after="0"/>
              <w:jc w:val="left"/>
              <w:rPr/>
            </w:pPr>
            <w:r>
              <w:rPr>
                <w:rFonts w:eastAsia="Calibri" w:cs="Calibri"/>
                <w:color w:val="24313C"/>
                <w:sz w:val="17"/>
              </w:rPr>
              <w:t>2 h</w:t>
            </w:r>
          </w:p>
        </w:tc>
      </w:tr>
      <w:tr>
        <w:trPr>
          <w:cantSplit w:val="true"/>
        </w:trPr>
        <w:tc>
          <w:tcPr>
            <w:tcW w:w="5481"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Sécurité &amp; comptes de service</w:t>
            </w:r>
          </w:p>
        </w:tc>
        <w:tc>
          <w:tcPr>
            <w:tcW w:w="2619"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Administrateur système</w:t>
            </w:r>
          </w:p>
        </w:tc>
        <w:tc>
          <w:tcPr>
            <w:tcW w:w="900" w:type="dxa"/>
            <w:tcBorders>
              <w:top w:val="single" w:sz="6" w:space="0" w:color="AAB7C4"/>
              <w:left w:val="single" w:sz="6" w:space="0" w:color="AAB7C4"/>
              <w:bottom w:val="single" w:sz="6" w:space="0" w:color="AAB7C4"/>
              <w:right w:val="single" w:sz="6" w:space="0" w:color="AAB7C4"/>
            </w:tcBorders>
            <w:shd w:fill="FFFFFF" w:val="clear"/>
            <w:vAlign w:val="center"/>
          </w:tcPr>
          <w:p>
            <w:pPr>
              <w:pStyle w:val="Normal"/>
              <w:spacing w:lineRule="auto" w:line="240" w:before="0" w:after="0"/>
              <w:jc w:val="left"/>
              <w:rPr/>
            </w:pPr>
            <w:r>
              <w:rPr>
                <w:rFonts w:eastAsia="Calibri" w:cs="Calibri"/>
                <w:color w:val="24313C"/>
                <w:sz w:val="17"/>
              </w:rPr>
              <w:t>1 h</w:t>
            </w:r>
          </w:p>
        </w:tc>
      </w:tr>
    </w:tbl>
    <w:p>
      <w:pPr>
        <w:pStyle w:val="Normal"/>
        <w:spacing w:before="200" w:after="100"/>
        <w:rPr/>
      </w:pPr>
      <w:r>
        <w:rPr/>
      </w:r>
    </w:p>
    <w:p>
      <w:pPr>
        <w:pStyle w:val="Heading2"/>
        <w:keepNext w:val="true"/>
        <w:keepLines/>
        <w:spacing w:before="180" w:after="80"/>
        <w:jc w:val="left"/>
        <w:rPr/>
      </w:pPr>
      <w:bookmarkStart w:id="60" w:name="__RefHeading___Toc3095_3772494354"/>
      <w:bookmarkStart w:id="61" w:name="_Toc235035910"/>
      <w:bookmarkEnd w:id="60"/>
      <w:r>
        <w:rPr>
          <w:rFonts w:eastAsia="Calibri" w:cs="Calibri"/>
          <w:b/>
          <w:bCs/>
          <w:color w:val="2E75B6"/>
          <w:sz w:val="25"/>
          <w:lang w:val="fr-FR" w:eastAsia="fr-FR"/>
        </w:rPr>
        <w:t>10.3 Documentation</w:t>
      </w:r>
      <w:bookmarkEnd w:id="61"/>
    </w:p>
    <w:p>
      <w:pPr>
        <w:pStyle w:val="ListParagraph"/>
        <w:widowControl/>
        <w:numPr>
          <w:ilvl w:val="0"/>
          <w:numId w:val="117"/>
        </w:numPr>
        <w:spacing w:lineRule="auto" w:line="247" w:before="0" w:after="40"/>
        <w:ind w:hanging="142" w:left="312"/>
        <w:jc w:val="left"/>
        <w:rPr/>
      </w:pPr>
      <w:r>
        <w:rPr>
          <w:rFonts w:eastAsia="Calibri" w:cs="Calibri"/>
          <w:color w:val="24313C"/>
          <w:sz w:val="21"/>
          <w:lang w:val="fr-FR" w:eastAsia="fr-FR"/>
        </w:rPr>
        <w:t>Guide utilisateur du portail de tickets (2 pages, une capture par étape) remis à chaque employé.</w:t>
      </w:r>
    </w:p>
    <w:p>
      <w:pPr>
        <w:pStyle w:val="ListParagraph"/>
        <w:widowControl/>
        <w:numPr>
          <w:ilvl w:val="0"/>
          <w:numId w:val="118"/>
        </w:numPr>
        <w:spacing w:lineRule="auto" w:line="247" w:before="0" w:after="40"/>
        <w:ind w:hanging="142" w:left="312"/>
        <w:jc w:val="left"/>
        <w:rPr/>
      </w:pPr>
      <w:r>
        <w:rPr>
          <w:rFonts w:eastAsia="Calibri" w:cs="Calibri"/>
          <w:color w:val="24313C"/>
          <w:sz w:val="21"/>
          <w:lang w:val="fr-FR" w:eastAsia="fr-FR"/>
        </w:rPr>
        <w:t>Dossier d'architecture technique (DAT), runbooks R0-R5 et journal de preuves remis à l'équipe d'exploitation.</w:t>
      </w:r>
    </w:p>
    <w:p>
      <w:pPr>
        <w:pStyle w:val="ListParagraph"/>
        <w:widowControl/>
        <w:numPr>
          <w:ilvl w:val="0"/>
          <w:numId w:val="119"/>
        </w:numPr>
        <w:spacing w:lineRule="auto" w:line="247" w:before="0" w:after="40"/>
        <w:ind w:hanging="142" w:left="312"/>
        <w:jc w:val="left"/>
        <w:rPr/>
      </w:pPr>
      <w:r>
        <w:rPr>
          <w:rFonts w:eastAsia="Calibri" w:cs="Calibri"/>
          <w:color w:val="24313C"/>
          <w:sz w:val="21"/>
          <w:lang w:val="fr-FR" w:eastAsia="fr-FR"/>
        </w:rPr>
        <w:t>Accès au dépôt Git (configurations, scripts, exports) pour rejouer toute procédure.</w:t>
      </w:r>
    </w:p>
    <w:p>
      <w:pPr>
        <w:pStyle w:val="Heading2"/>
        <w:keepNext w:val="true"/>
        <w:keepLines/>
        <w:spacing w:before="180" w:after="80"/>
        <w:jc w:val="left"/>
        <w:rPr/>
      </w:pPr>
      <w:bookmarkStart w:id="62" w:name="__RefHeading___Toc3097_3772494354"/>
      <w:bookmarkStart w:id="63" w:name="_Toc235035911"/>
      <w:bookmarkEnd w:id="62"/>
      <w:r>
        <w:rPr>
          <w:rFonts w:eastAsia="Calibri" w:cs="Calibri"/>
          <w:b/>
          <w:bCs/>
          <w:color w:val="2E75B6"/>
          <w:sz w:val="25"/>
          <w:lang w:val="fr-FR" w:eastAsia="fr-FR"/>
        </w:rPr>
        <w:t>10.4 Communication proactive</w:t>
      </w:r>
      <w:bookmarkEnd w:id="63"/>
    </w:p>
    <w:p>
      <w:pPr>
        <w:pStyle w:val="ListParagraph"/>
        <w:widowControl/>
        <w:numPr>
          <w:ilvl w:val="0"/>
          <w:numId w:val="120"/>
        </w:numPr>
        <w:spacing w:lineRule="auto" w:line="247" w:before="0" w:after="40"/>
        <w:ind w:hanging="142" w:left="312"/>
        <w:jc w:val="left"/>
        <w:rPr/>
      </w:pPr>
      <w:r>
        <w:rPr>
          <w:rFonts w:eastAsia="Calibri" w:cs="Calibri"/>
          <w:color w:val="24313C"/>
          <w:sz w:val="21"/>
          <w:lang w:val="fr-FR" w:eastAsia="fr-FR"/>
        </w:rPr>
        <w:t>Journal de bord horodaté partagé à l'équipe à chaque brique mise en service.</w:t>
      </w:r>
    </w:p>
    <w:p>
      <w:pPr>
        <w:pStyle w:val="ListParagraph"/>
        <w:widowControl/>
        <w:numPr>
          <w:ilvl w:val="0"/>
          <w:numId w:val="121"/>
        </w:numPr>
        <w:spacing w:lineRule="auto" w:line="247" w:before="0" w:after="40"/>
        <w:ind w:hanging="142" w:left="312"/>
        <w:jc w:val="left"/>
        <w:rPr/>
      </w:pPr>
      <w:r>
        <w:rPr>
          <w:rFonts w:eastAsia="Calibri" w:cs="Calibri"/>
          <w:color w:val="24313C"/>
          <w:sz w:val="21"/>
          <w:lang w:val="fr-FR" w:eastAsia="fr-FR"/>
        </w:rPr>
        <w:t>Points d'équipe réguliers, avec un compte rendu consigné dans les fichiers de suivi de l'ensemble des livrables.</w:t>
      </w:r>
    </w:p>
    <w:p>
      <w:pPr>
        <w:pStyle w:val="ListParagraph"/>
        <w:widowControl/>
        <w:numPr>
          <w:ilvl w:val="0"/>
          <w:numId w:val="122"/>
        </w:numPr>
        <w:spacing w:lineRule="auto" w:line="247" w:before="0" w:after="40"/>
        <w:ind w:hanging="142" w:left="312"/>
        <w:jc w:val="left"/>
        <w:rPr/>
      </w:pPr>
      <w:r>
        <w:rPr>
          <w:rFonts w:eastAsia="Calibri" w:cs="Calibri"/>
          <w:color w:val="24313C"/>
          <w:sz w:val="21"/>
          <w:lang w:val="fr-FR" w:eastAsia="fr-FR"/>
        </w:rPr>
        <w:t>Fiche de préparation aux questions-réponses avant la soutenance : choix d'hébergement, absence de CARP, gestion des secrets et comportement en cas de perte du témoin de quorum.</w:t>
      </w:r>
    </w:p>
    <w:p>
      <w:pPr>
        <w:pStyle w:val="Heading2"/>
        <w:keepNext w:val="true"/>
        <w:keepLines/>
        <w:spacing w:before="180" w:after="80"/>
        <w:jc w:val="left"/>
        <w:rPr/>
      </w:pPr>
      <w:bookmarkStart w:id="64" w:name="__RefHeading___Toc3099_3772494354"/>
      <w:bookmarkStart w:id="65" w:name="_Toc235035912"/>
      <w:bookmarkEnd w:id="64"/>
      <w:r>
        <w:rPr>
          <w:rFonts w:eastAsia="Calibri" w:cs="Calibri"/>
          <w:b/>
          <w:bCs/>
          <w:color w:val="2E75B6"/>
          <w:sz w:val="25"/>
          <w:lang w:val="fr-FR" w:eastAsia="fr-FR"/>
        </w:rPr>
        <w:t>10.5 Support utilisateur post-déploiement</w:t>
      </w:r>
      <w:bookmarkEnd w:id="65"/>
    </w:p>
    <w:p>
      <w:pPr>
        <w:pStyle w:val="ListParagraph"/>
        <w:widowControl/>
        <w:numPr>
          <w:ilvl w:val="0"/>
          <w:numId w:val="123"/>
        </w:numPr>
        <w:spacing w:lineRule="auto" w:line="247" w:before="0" w:after="40"/>
        <w:ind w:hanging="142" w:left="312"/>
        <w:jc w:val="left"/>
        <w:rPr/>
      </w:pPr>
      <w:r>
        <w:rPr>
          <w:rFonts w:eastAsia="Calibri" w:cs="Calibri"/>
          <w:color w:val="24313C"/>
          <w:sz w:val="21"/>
          <w:lang w:val="fr-FR" w:eastAsia="fr-FR"/>
        </w:rPr>
        <w:t>Contact urgences bloquantes : poste interne dédié (exemple retenu pour le dossier : poste 4242).</w:t>
      </w:r>
    </w:p>
    <w:p>
      <w:pPr>
        <w:pStyle w:val="ListParagraph"/>
        <w:widowControl/>
        <w:numPr>
          <w:ilvl w:val="0"/>
          <w:numId w:val="124"/>
        </w:numPr>
        <w:spacing w:lineRule="auto" w:line="247" w:before="0" w:after="40"/>
        <w:ind w:hanging="142" w:left="312"/>
        <w:jc w:val="left"/>
        <w:rPr/>
      </w:pPr>
      <w:r>
        <w:rPr>
          <w:rFonts w:eastAsia="Calibri" w:cs="Calibri"/>
          <w:color w:val="24313C"/>
          <w:sz w:val="21"/>
          <w:lang w:val="fr-FR" w:eastAsia="fr-FR"/>
        </w:rPr>
        <w:t>Mot de passe oublié : réinitialisation par un administrateur GLPI (le libre-service par e-mail nécessiterait un flux de mail entrant, hors périmètre du projet).</w:t>
      </w:r>
    </w:p>
    <w:p>
      <w:pPr>
        <w:pStyle w:val="ListParagraph"/>
        <w:widowControl/>
        <w:numPr>
          <w:ilvl w:val="0"/>
          <w:numId w:val="125"/>
        </w:numPr>
        <w:spacing w:lineRule="auto" w:line="247" w:before="0" w:after="40"/>
        <w:ind w:hanging="142" w:left="312"/>
        <w:jc w:val="left"/>
        <w:rPr/>
      </w:pPr>
      <w:r>
        <w:rPr>
          <w:rFonts w:eastAsia="Calibri" w:cs="Calibri"/>
          <w:color w:val="24313C"/>
          <w:sz w:val="21"/>
          <w:lang w:val="fr-FR" w:eastAsia="fr-FR"/>
        </w:rPr>
        <w:t>Taille maximale des pièces jointes alignée entre la configuration GLPI et les réglages PHP du serveur.</w:t>
      </w:r>
    </w:p>
    <w:p>
      <w:pPr>
        <w:pStyle w:val="Heading2"/>
        <w:keepNext w:val="true"/>
        <w:keepLines/>
        <w:spacing w:before="180" w:after="80"/>
        <w:jc w:val="left"/>
        <w:rPr/>
      </w:pPr>
      <w:bookmarkStart w:id="66" w:name="__RefHeading___Toc3101_3772494354"/>
      <w:bookmarkStart w:id="67" w:name="_Toc235035913"/>
      <w:bookmarkEnd w:id="66"/>
      <w:r>
        <w:rPr>
          <w:rFonts w:eastAsia="Calibri" w:cs="Calibri"/>
          <w:b/>
          <w:bCs/>
          <w:color w:val="2E75B6"/>
          <w:sz w:val="25"/>
          <w:lang w:val="fr-FR" w:eastAsia="fr-FR"/>
        </w:rPr>
        <w:t>10.6 Modèle de ticket</w:t>
      </w:r>
      <w:bookmarkEnd w:id="67"/>
    </w:p>
    <w:p>
      <w:pPr>
        <w:pStyle w:val="Normal"/>
        <w:widowControl/>
        <w:spacing w:lineRule="auto" w:line="259" w:before="0" w:after="100"/>
        <w:jc w:val="both"/>
        <w:rPr/>
      </w:pPr>
      <w:r>
        <w:rPr>
          <w:rFonts w:eastAsia="Calibri" w:cs="Calibri"/>
          <w:color w:val="24313C"/>
          <w:sz w:val="21"/>
          <w:lang w:val="fr-FR" w:eastAsia="fr-FR"/>
        </w:rPr>
        <w:t>Un modèle de saisie est proposé aux utilisateurs afin de fiabiliser le tri automatique des tickets :</w:t>
      </w:r>
    </w:p>
    <w:p>
      <w:pPr>
        <w:pStyle w:val="ListParagraph"/>
        <w:widowControl/>
        <w:numPr>
          <w:ilvl w:val="0"/>
          <w:numId w:val="126"/>
        </w:numPr>
        <w:spacing w:lineRule="auto" w:line="247" w:before="0" w:after="40"/>
        <w:ind w:hanging="142" w:left="312"/>
        <w:jc w:val="left"/>
        <w:rPr/>
      </w:pPr>
      <w:r>
        <w:rPr>
          <w:rFonts w:eastAsia="Calibri" w:cs="Calibri"/>
          <w:color w:val="24313C"/>
          <w:sz w:val="21"/>
          <w:lang w:val="fr-FR" w:eastAsia="fr-FR"/>
        </w:rPr>
        <w:t>Titre : court et précis (« Imprimante 2e étage : bourrage papier » plutôt que « ça marche pas »).</w:t>
      </w:r>
    </w:p>
    <w:p>
      <w:pPr>
        <w:pStyle w:val="ListParagraph"/>
        <w:widowControl/>
        <w:numPr>
          <w:ilvl w:val="0"/>
          <w:numId w:val="127"/>
        </w:numPr>
        <w:spacing w:lineRule="auto" w:line="247" w:before="0" w:after="40"/>
        <w:ind w:hanging="142" w:left="312"/>
        <w:jc w:val="left"/>
        <w:rPr/>
      </w:pPr>
      <w:r>
        <w:rPr>
          <w:rFonts w:eastAsia="Calibri" w:cs="Calibri"/>
          <w:color w:val="24313C"/>
          <w:sz w:val="21"/>
          <w:lang w:val="fr-FR" w:eastAsia="fr-FR"/>
        </w:rPr>
        <w:t>Catégorie : sélectionnée dans une liste prédéfinie.</w:t>
      </w:r>
    </w:p>
    <w:p>
      <w:pPr>
        <w:pStyle w:val="ListParagraph"/>
        <w:widowControl/>
        <w:numPr>
          <w:ilvl w:val="0"/>
          <w:numId w:val="128"/>
        </w:numPr>
        <w:spacing w:lineRule="auto" w:line="247" w:before="0" w:after="40"/>
        <w:ind w:hanging="142" w:left="312"/>
        <w:jc w:val="left"/>
        <w:rPr/>
      </w:pPr>
      <w:r>
        <w:rPr>
          <w:rFonts w:eastAsia="Calibri" w:cs="Calibri"/>
          <w:color w:val="24313C"/>
          <w:sz w:val="21"/>
          <w:lang w:val="fr-FR" w:eastAsia="fr-FR"/>
        </w:rPr>
        <w:t>Urgence : niveau perçu par l'utilisateur.</w:t>
      </w:r>
    </w:p>
    <w:p>
      <w:pPr>
        <w:pStyle w:val="ListParagraph"/>
        <w:widowControl/>
        <w:numPr>
          <w:ilvl w:val="0"/>
          <w:numId w:val="129"/>
        </w:numPr>
        <w:spacing w:lineRule="auto" w:line="247" w:before="0" w:after="40"/>
        <w:ind w:hanging="142" w:left="312"/>
        <w:jc w:val="left"/>
        <w:rPr/>
      </w:pPr>
      <w:r>
        <w:rPr>
          <w:rFonts w:eastAsia="Calibri" w:cs="Calibri"/>
          <w:color w:val="24313C"/>
          <w:sz w:val="21"/>
          <w:lang w:val="fr-FR" w:eastAsia="fr-FR"/>
        </w:rPr>
        <w:t>Description : quoi, depuis quand, message d'erreur éventuel, capture d'écran en pièce jointe si possible.</w:t>
      </w:r>
    </w:p>
    <w:p>
      <w:pPr>
        <w:pStyle w:val="Normal"/>
        <w:widowControl/>
        <w:spacing w:lineRule="auto" w:line="259" w:before="0" w:after="100"/>
        <w:jc w:val="both"/>
        <w:rPr/>
      </w:pPr>
      <w:r>
        <w:rPr>
          <w:rFonts w:eastAsia="Calibri" w:cs="Calibri"/>
          <w:color w:val="24313C"/>
          <w:sz w:val="21"/>
          <w:lang w:val="fr-FR" w:eastAsia="fr-FR"/>
        </w:rPr>
        <w:t>Ce modèle réduit les délais de traitement et facilite l'affectation au bon technicien dès l'ouverture du ticket.</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454" w:top="1134" w:footer="454" w:bottom="10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00"/>
      <w:jc w:val="center"/>
      <w:rPr/>
    </w:pPr>
    <w:r>
      <w:rPr>
        <w:rFonts w:eastAsia="Calibri" w:cs="Calibri"/>
        <w:color w:val="6B7785"/>
        <w:sz w:val="17"/>
        <w:szCs w:val="16"/>
      </w:rPr>
      <w:t xml:space="preserve">Page </w:t>
    </w:r>
    <w:r>
      <w:rPr>
        <w:rFonts w:eastAsia="Calibri" w:cs="Calibri"/>
        <w:color w:val="6B7785"/>
        <w:sz w:val="17"/>
        <w:szCs w:val="16"/>
      </w:rPr>
      <w:fldChar w:fldCharType="begin"/>
    </w:r>
    <w:r>
      <w:rPr>
        <w:sz w:val="17"/>
        <w:szCs w:val="16"/>
        <w:rFonts w:eastAsia="Calibri" w:cs="Calibri"/>
        <w:color w:val="6B7785"/>
      </w:rPr>
      <w:instrText xml:space="preserve"> PAGE </w:instrText>
    </w:r>
    <w:r>
      <w:rPr>
        <w:sz w:val="17"/>
        <w:szCs w:val="16"/>
        <w:rFonts w:eastAsia="Calibri" w:cs="Calibri"/>
        <w:color w:val="6B7785"/>
      </w:rPr>
      <w:fldChar w:fldCharType="separate"/>
    </w:r>
    <w:r>
      <w:rPr>
        <w:sz w:val="17"/>
        <w:szCs w:val="16"/>
        <w:rFonts w:eastAsia="Calibri" w:cs="Calibri"/>
        <w:color w:val="6B7785"/>
      </w:rPr>
      <w:t>13</w:t>
    </w:r>
    <w:r>
      <w:rPr>
        <w:sz w:val="17"/>
        <w:szCs w:val="16"/>
        <w:rFonts w:eastAsia="Calibri" w:cs="Calibri"/>
        <w:color w:val="6B7785"/>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00"/>
      <w:jc w:val="center"/>
      <w:rPr/>
    </w:pPr>
    <w:r>
      <w:rPr>
        <w:rFonts w:eastAsia="Calibri" w:cs="Calibri"/>
        <w:color w:val="6B7785"/>
        <w:sz w:val="17"/>
        <w:szCs w:val="16"/>
      </w:rPr>
      <w:t xml:space="preserve">Page </w:t>
    </w:r>
    <w:r>
      <w:rPr>
        <w:rFonts w:eastAsia="Calibri" w:cs="Calibri"/>
        <w:color w:val="6B7785"/>
        <w:sz w:val="17"/>
        <w:szCs w:val="16"/>
      </w:rPr>
      <w:fldChar w:fldCharType="begin"/>
    </w:r>
    <w:r>
      <w:rPr>
        <w:sz w:val="17"/>
        <w:szCs w:val="16"/>
        <w:rFonts w:eastAsia="Calibri" w:cs="Calibri"/>
        <w:color w:val="6B7785"/>
      </w:rPr>
      <w:instrText xml:space="preserve"> PAGE </w:instrText>
    </w:r>
    <w:r>
      <w:rPr>
        <w:sz w:val="17"/>
        <w:szCs w:val="16"/>
        <w:rFonts w:eastAsia="Calibri" w:cs="Calibri"/>
        <w:color w:val="6B7785"/>
      </w:rPr>
      <w:fldChar w:fldCharType="separate"/>
    </w:r>
    <w:r>
      <w:rPr>
        <w:sz w:val="17"/>
        <w:szCs w:val="16"/>
        <w:rFonts w:eastAsia="Calibri" w:cs="Calibri"/>
        <w:color w:val="6B7785"/>
      </w:rPr>
      <w:t>13</w:t>
    </w:r>
    <w:r>
      <w:rPr>
        <w:sz w:val="17"/>
        <w:szCs w:val="16"/>
        <w:rFonts w:eastAsia="Calibri" w:cs="Calibri"/>
        <w:color w:val="6B7785"/>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3" w:color="D9E2F3"/>
      </w:pBdr>
      <w:spacing w:before="0" w:after="0"/>
      <w:jc w:val="right"/>
      <w:rPr/>
    </w:pPr>
    <w:r>
      <w:rPr>
        <w:rFonts w:eastAsia="Calibri" w:cs="Calibri"/>
        <w:color w:val="6B7785"/>
        <w:sz w:val="17"/>
        <w:szCs w:val="16"/>
      </w:rPr>
      <w:t>Helpdesk Atlas — PRA/DR</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3" w:color="D9E2F3"/>
      </w:pBdr>
      <w:spacing w:before="0" w:after="0"/>
      <w:jc w:val="right"/>
      <w:rPr/>
    </w:pPr>
    <w:r>
      <w:rPr>
        <w:rFonts w:eastAsia="Calibri" w:cs="Calibri"/>
        <w:color w:val="6B7785"/>
        <w:sz w:val="17"/>
        <w:szCs w:val="16"/>
      </w:rPr>
      <w:t>Helpdesk Atlas — PRA/DR</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20" w:hanging="2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
    <w:lvl w:ilvl="0">
      <w:start w:val="1"/>
      <w:numFmt w:val="bullet"/>
      <w:lvlText w:val=""/>
      <w:lvlJc w:val="left"/>
      <w:pPr>
        <w:tabs>
          <w:tab w:val="num" w:pos="0"/>
        </w:tabs>
        <w:ind w:left="420" w:hanging="2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
    <w:lvl w:ilvl="0">
      <w:start w:val="1"/>
      <w:numFmt w:val="bullet"/>
      <w:lvlText w:val=""/>
      <w:lvlJc w:val="left"/>
      <w:pPr>
        <w:tabs>
          <w:tab w:val="num" w:pos="0"/>
        </w:tabs>
        <w:ind w:left="420" w:hanging="2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
    <w:lvl w:ilvl="0">
      <w:start w:val="1"/>
      <w:numFmt w:val="bullet"/>
      <w:lvlText w:val=""/>
      <w:lvlJc w:val="left"/>
      <w:pPr>
        <w:tabs>
          <w:tab w:val="num" w:pos="0"/>
        </w:tabs>
        <w:ind w:left="420" w:hanging="2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
    <w:lvl w:ilvl="0">
      <w:start w:val="1"/>
      <w:numFmt w:val="bullet"/>
      <w:lvlText w:val=""/>
      <w:lvlJc w:val="left"/>
      <w:pPr>
        <w:tabs>
          <w:tab w:val="num" w:pos="0"/>
        </w:tabs>
        <w:ind w:left="420" w:hanging="2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
    <w:lvl w:ilvl="0">
      <w:start w:val="1"/>
      <w:numFmt w:val="bullet"/>
      <w:lvlText w:val=""/>
      <w:lvlJc w:val="left"/>
      <w:pPr>
        <w:tabs>
          <w:tab w:val="num" w:pos="0"/>
        </w:tabs>
        <w:ind w:left="420" w:hanging="2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7">
    <w:lvl w:ilvl="0">
      <w:start w:val="1"/>
      <w:numFmt w:val="bullet"/>
      <w:lvlText w:val=""/>
      <w:lvlJc w:val="left"/>
      <w:pPr>
        <w:tabs>
          <w:tab w:val="num" w:pos="0"/>
        </w:tabs>
        <w:ind w:left="420" w:hanging="2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8">
    <w:lvl w:ilvl="0">
      <w:start w:val="1"/>
      <w:numFmt w:val="bullet"/>
      <w:lvlText w:val=""/>
      <w:lvlJc w:val="left"/>
      <w:pPr>
        <w:tabs>
          <w:tab w:val="num" w:pos="0"/>
        </w:tabs>
        <w:ind w:left="420" w:hanging="2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9">
    <w:lvl w:ilvl="0">
      <w:start w:val="1"/>
      <w:numFmt w:val="bullet"/>
      <w:lvlText w:val=""/>
      <w:lvlJc w:val="left"/>
      <w:pPr>
        <w:tabs>
          <w:tab w:val="num" w:pos="0"/>
        </w:tabs>
        <w:ind w:left="420" w:hanging="2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0">
    <w:lvl w:ilvl="0">
      <w:start w:val="1"/>
      <w:numFmt w:val="bullet"/>
      <w:lvlText w:val=""/>
      <w:lvlJc w:val="left"/>
      <w:pPr>
        <w:tabs>
          <w:tab w:val="num" w:pos="0"/>
        </w:tabs>
        <w:ind w:left="420" w:hanging="2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1">
    <w:lvl w:ilvl="0">
      <w:start w:val="1"/>
      <w:numFmt w:val="bullet"/>
      <w:lvlText w:val=""/>
      <w:lvlJc w:val="left"/>
      <w:pPr>
        <w:tabs>
          <w:tab w:val="num" w:pos="0"/>
        </w:tabs>
        <w:ind w:left="420" w:hanging="2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2">
    <w:lvl w:ilvl="0">
      <w:start w:val="1"/>
      <w:numFmt w:val="bullet"/>
      <w:lvlText w:val=""/>
      <w:lvlJc w:val="left"/>
      <w:pPr>
        <w:tabs>
          <w:tab w:val="num" w:pos="0"/>
        </w:tabs>
        <w:ind w:left="420" w:hanging="2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3">
    <w:lvl w:ilvl="0">
      <w:start w:val="1"/>
      <w:numFmt w:val="bullet"/>
      <w:lvlText w:val=""/>
      <w:lvlJc w:val="left"/>
      <w:pPr>
        <w:tabs>
          <w:tab w:val="num" w:pos="0"/>
        </w:tabs>
        <w:ind w:left="420" w:hanging="2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4">
    <w:lvl w:ilvl="0">
      <w:start w:val="1"/>
      <w:numFmt w:val="bullet"/>
      <w:lvlText w:val=""/>
      <w:lvlJc w:val="left"/>
      <w:pPr>
        <w:tabs>
          <w:tab w:val="num" w:pos="0"/>
        </w:tabs>
        <w:ind w:left="420" w:hanging="2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5">
    <w:lvl w:ilvl="0">
      <w:start w:val="1"/>
      <w:numFmt w:val="bullet"/>
      <w:lvlText w:val=""/>
      <w:lvlJc w:val="left"/>
      <w:pPr>
        <w:tabs>
          <w:tab w:val="num" w:pos="0"/>
        </w:tabs>
        <w:ind w:left="420" w:hanging="2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6">
    <w:lvl w:ilvl="0">
      <w:start w:val="1"/>
      <w:numFmt w:val="bullet"/>
      <w:lvlText w:val=""/>
      <w:lvlJc w:val="left"/>
      <w:pPr>
        <w:tabs>
          <w:tab w:val="num" w:pos="0"/>
        </w:tabs>
        <w:ind w:left="420" w:hanging="2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7">
    <w:lvl w:ilvl="0">
      <w:start w:val="1"/>
      <w:numFmt w:val="bullet"/>
      <w:lvlText w:val=""/>
      <w:lvlJc w:val="left"/>
      <w:pPr>
        <w:tabs>
          <w:tab w:val="num" w:pos="0"/>
        </w:tabs>
        <w:ind w:left="420" w:hanging="2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8">
    <w:lvl w:ilvl="0">
      <w:start w:val="1"/>
      <w:numFmt w:val="bullet"/>
      <w:lvlText w:val=""/>
      <w:lvlJc w:val="left"/>
      <w:pPr>
        <w:tabs>
          <w:tab w:val="num" w:pos="0"/>
        </w:tabs>
        <w:ind w:left="420" w:hanging="2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9">
    <w:lvl w:ilvl="0">
      <w:start w:val="1"/>
      <w:numFmt w:val="bullet"/>
      <w:lvlText w:val=""/>
      <w:lvlJc w:val="left"/>
      <w:pPr>
        <w:tabs>
          <w:tab w:val="num" w:pos="0"/>
        </w:tabs>
        <w:ind w:left="420" w:hanging="2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0">
    <w:lvl w:ilvl="0">
      <w:start w:val="1"/>
      <w:numFmt w:val="bullet"/>
      <w:lvlText w:val=""/>
      <w:lvlJc w:val="left"/>
      <w:pPr>
        <w:tabs>
          <w:tab w:val="num" w:pos="0"/>
        </w:tabs>
        <w:ind w:left="420" w:hanging="2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1">
    <w:lvl w:ilvl="0">
      <w:start w:val="1"/>
      <w:numFmt w:val="bullet"/>
      <w:lvlText w:val=""/>
      <w:lvlJc w:val="left"/>
      <w:pPr>
        <w:tabs>
          <w:tab w:val="num" w:pos="0"/>
        </w:tabs>
        <w:ind w:left="420" w:hanging="2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2">
    <w:lvl w:ilvl="0">
      <w:start w:val="1"/>
      <w:numFmt w:val="bullet"/>
      <w:lvlText w:val=""/>
      <w:lvlJc w:val="left"/>
      <w:pPr>
        <w:tabs>
          <w:tab w:val="num" w:pos="0"/>
        </w:tabs>
        <w:ind w:left="420" w:hanging="2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3">
    <w:lvl w:ilvl="0">
      <w:start w:val="1"/>
      <w:numFmt w:val="bullet"/>
      <w:lvlText w:val=""/>
      <w:lvlJc w:val="left"/>
      <w:pPr>
        <w:tabs>
          <w:tab w:val="num" w:pos="0"/>
        </w:tabs>
        <w:ind w:left="420" w:hanging="2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4">
    <w:lvl w:ilvl="0">
      <w:start w:val="1"/>
      <w:numFmt w:val="bullet"/>
      <w:lvlText w:val=""/>
      <w:lvlJc w:val="left"/>
      <w:pPr>
        <w:tabs>
          <w:tab w:val="num" w:pos="0"/>
        </w:tabs>
        <w:ind w:left="420" w:hanging="2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5">
    <w:lvl w:ilvl="0">
      <w:start w:val="1"/>
      <w:numFmt w:val="bullet"/>
      <w:lvlText w:val=""/>
      <w:lvlJc w:val="left"/>
      <w:pPr>
        <w:tabs>
          <w:tab w:val="num" w:pos="0"/>
        </w:tabs>
        <w:ind w:left="420" w:hanging="2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6">
    <w:lvl w:ilvl="0">
      <w:start w:val="1"/>
      <w:numFmt w:val="bullet"/>
      <w:lvlText w:val=""/>
      <w:lvlJc w:val="left"/>
      <w:pPr>
        <w:tabs>
          <w:tab w:val="num" w:pos="0"/>
        </w:tabs>
        <w:ind w:left="420" w:hanging="2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7">
    <w:lvl w:ilvl="0">
      <w:start w:val="1"/>
      <w:numFmt w:val="bullet"/>
      <w:lvlText w:val=""/>
      <w:lvlJc w:val="left"/>
      <w:pPr>
        <w:tabs>
          <w:tab w:val="num" w:pos="0"/>
        </w:tabs>
        <w:ind w:left="420" w:hanging="2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8">
    <w:lvl w:ilvl="0">
      <w:start w:val="1"/>
      <w:numFmt w:val="bullet"/>
      <w:lvlText w:val=""/>
      <w:lvlJc w:val="left"/>
      <w:pPr>
        <w:tabs>
          <w:tab w:val="num" w:pos="0"/>
        </w:tabs>
        <w:ind w:left="420" w:hanging="2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9">
    <w:lvl w:ilvl="0">
      <w:start w:val="1"/>
      <w:numFmt w:val="bullet"/>
      <w:lvlText w:val=""/>
      <w:lvlJc w:val="left"/>
      <w:pPr>
        <w:tabs>
          <w:tab w:val="num" w:pos="0"/>
        </w:tabs>
        <w:ind w:left="420" w:hanging="2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0">
    <w:lvl w:ilvl="0">
      <w:start w:val="1"/>
      <w:numFmt w:val="bullet"/>
      <w:lvlText w:val=""/>
      <w:lvlJc w:val="left"/>
      <w:pPr>
        <w:tabs>
          <w:tab w:val="num" w:pos="0"/>
        </w:tabs>
        <w:ind w:left="420" w:hanging="2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1">
    <w:lvl w:ilvl="0">
      <w:start w:val="1"/>
      <w:numFmt w:val="bullet"/>
      <w:lvlText w:val=""/>
      <w:lvlJc w:val="left"/>
      <w:pPr>
        <w:tabs>
          <w:tab w:val="num" w:pos="0"/>
        </w:tabs>
        <w:ind w:left="420" w:hanging="2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2">
    <w:lvl w:ilvl="0">
      <w:start w:val="1"/>
      <w:numFmt w:val="bullet"/>
      <w:lvlText w:val=""/>
      <w:lvlJc w:val="left"/>
      <w:pPr>
        <w:tabs>
          <w:tab w:val="num" w:pos="0"/>
        </w:tabs>
        <w:ind w:left="420" w:hanging="2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3">
    <w:lvl w:ilvl="0">
      <w:start w:val="1"/>
      <w:numFmt w:val="bullet"/>
      <w:lvlText w:val=""/>
      <w:lvlJc w:val="left"/>
      <w:pPr>
        <w:tabs>
          <w:tab w:val="num" w:pos="0"/>
        </w:tabs>
        <w:ind w:left="420" w:hanging="2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4">
    <w:lvl w:ilvl="0">
      <w:start w:val="1"/>
      <w:numFmt w:val="bullet"/>
      <w:lvlText w:val=""/>
      <w:lvlJc w:val="left"/>
      <w:pPr>
        <w:tabs>
          <w:tab w:val="num" w:pos="0"/>
        </w:tabs>
        <w:ind w:left="420" w:hanging="2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5">
    <w:lvl w:ilvl="0">
      <w:start w:val="1"/>
      <w:numFmt w:val="bullet"/>
      <w:lvlText w:val=""/>
      <w:lvlJc w:val="left"/>
      <w:pPr>
        <w:tabs>
          <w:tab w:val="num" w:pos="0"/>
        </w:tabs>
        <w:ind w:left="420" w:hanging="2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6">
    <w:lvl w:ilvl="0">
      <w:start w:val="1"/>
      <w:numFmt w:val="bullet"/>
      <w:lvlText w:val=""/>
      <w:lvlJc w:val="left"/>
      <w:pPr>
        <w:tabs>
          <w:tab w:val="num" w:pos="0"/>
        </w:tabs>
        <w:ind w:left="420" w:hanging="2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7">
    <w:lvl w:ilvl="0">
      <w:start w:val="1"/>
      <w:numFmt w:val="bullet"/>
      <w:lvlText w:val=""/>
      <w:lvlJc w:val="left"/>
      <w:pPr>
        <w:tabs>
          <w:tab w:val="num" w:pos="0"/>
        </w:tabs>
        <w:ind w:left="420" w:hanging="2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8">
    <w:lvl w:ilvl="0">
      <w:start w:val="1"/>
      <w:numFmt w:val="bullet"/>
      <w:lvlText w:val=""/>
      <w:lvlJc w:val="left"/>
      <w:pPr>
        <w:tabs>
          <w:tab w:val="num" w:pos="0"/>
        </w:tabs>
        <w:ind w:left="420" w:hanging="2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9">
    <w:lvl w:ilvl="0">
      <w:start w:val="1"/>
      <w:numFmt w:val="bullet"/>
      <w:lvlText w:val=""/>
      <w:lvlJc w:val="left"/>
      <w:pPr>
        <w:tabs>
          <w:tab w:val="num" w:pos="0"/>
        </w:tabs>
        <w:ind w:left="420" w:hanging="2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0">
    <w:lvl w:ilvl="0">
      <w:start w:val="1"/>
      <w:numFmt w:val="bullet"/>
      <w:lvlText w:val=""/>
      <w:lvlJc w:val="left"/>
      <w:pPr>
        <w:tabs>
          <w:tab w:val="num" w:pos="0"/>
        </w:tabs>
        <w:ind w:left="420" w:hanging="2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1">
    <w:lvl w:ilvl="0">
      <w:start w:val="1"/>
      <w:numFmt w:val="bullet"/>
      <w:lvlText w:val=""/>
      <w:lvlJc w:val="left"/>
      <w:pPr>
        <w:tabs>
          <w:tab w:val="num" w:pos="0"/>
        </w:tabs>
        <w:ind w:left="420" w:hanging="2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2">
    <w:lvl w:ilvl="0">
      <w:start w:val="1"/>
      <w:numFmt w:val="bullet"/>
      <w:lvlText w:val=""/>
      <w:lvlJc w:val="left"/>
      <w:pPr>
        <w:tabs>
          <w:tab w:val="num" w:pos="0"/>
        </w:tabs>
        <w:ind w:left="420" w:hanging="2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3">
    <w:lvl w:ilvl="0">
      <w:start w:val="1"/>
      <w:numFmt w:val="bullet"/>
      <w:lvlText w:val=""/>
      <w:lvlJc w:val="left"/>
      <w:pPr>
        <w:tabs>
          <w:tab w:val="num" w:pos="0"/>
        </w:tabs>
        <w:ind w:left="420" w:hanging="2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4">
    <w:lvl w:ilvl="0">
      <w:start w:val="1"/>
      <w:numFmt w:val="bullet"/>
      <w:lvlText w:val=""/>
      <w:lvlJc w:val="left"/>
      <w:pPr>
        <w:tabs>
          <w:tab w:val="num" w:pos="0"/>
        </w:tabs>
        <w:ind w:left="420" w:hanging="2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5">
    <w:lvl w:ilvl="0">
      <w:start w:val="1"/>
      <w:numFmt w:val="bullet"/>
      <w:lvlText w:val=""/>
      <w:lvlJc w:val="left"/>
      <w:pPr>
        <w:tabs>
          <w:tab w:val="num" w:pos="0"/>
        </w:tabs>
        <w:ind w:left="420" w:hanging="2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6">
    <w:lvl w:ilvl="0">
      <w:start w:val="1"/>
      <w:numFmt w:val="bullet"/>
      <w:lvlText w:val=""/>
      <w:lvlJc w:val="left"/>
      <w:pPr>
        <w:tabs>
          <w:tab w:val="num" w:pos="0"/>
        </w:tabs>
        <w:ind w:left="420" w:hanging="2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7">
    <w:lvl w:ilvl="0">
      <w:start w:val="1"/>
      <w:numFmt w:val="bullet"/>
      <w:lvlText w:val=""/>
      <w:lvlJc w:val="left"/>
      <w:pPr>
        <w:tabs>
          <w:tab w:val="num" w:pos="0"/>
        </w:tabs>
        <w:ind w:left="420" w:hanging="2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8">
    <w:lvl w:ilvl="0">
      <w:start w:val="1"/>
      <w:numFmt w:val="bullet"/>
      <w:lvlText w:val=""/>
      <w:lvlJc w:val="left"/>
      <w:pPr>
        <w:tabs>
          <w:tab w:val="num" w:pos="0"/>
        </w:tabs>
        <w:ind w:left="420" w:hanging="2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9">
    <w:lvl w:ilvl="0">
      <w:start w:val="1"/>
      <w:numFmt w:val="bullet"/>
      <w:lvlText w:val=""/>
      <w:lvlJc w:val="left"/>
      <w:pPr>
        <w:tabs>
          <w:tab w:val="num" w:pos="0"/>
        </w:tabs>
        <w:ind w:left="420" w:hanging="2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0">
    <w:lvl w:ilvl="0">
      <w:start w:val="1"/>
      <w:numFmt w:val="bullet"/>
      <w:lvlText w:val=""/>
      <w:lvlJc w:val="left"/>
      <w:pPr>
        <w:tabs>
          <w:tab w:val="num" w:pos="0"/>
        </w:tabs>
        <w:ind w:left="420" w:hanging="2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1">
    <w:lvl w:ilvl="0">
      <w:start w:val="1"/>
      <w:numFmt w:val="bullet"/>
      <w:lvlText w:val=""/>
      <w:lvlJc w:val="left"/>
      <w:pPr>
        <w:tabs>
          <w:tab w:val="num" w:pos="0"/>
        </w:tabs>
        <w:ind w:left="420" w:hanging="2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2">
    <w:lvl w:ilvl="0">
      <w:start w:val="1"/>
      <w:numFmt w:val="bullet"/>
      <w:lvlText w:val=""/>
      <w:lvlJc w:val="left"/>
      <w:pPr>
        <w:tabs>
          <w:tab w:val="num" w:pos="0"/>
        </w:tabs>
        <w:ind w:left="420" w:hanging="2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3">
    <w:lvl w:ilvl="0">
      <w:start w:val="1"/>
      <w:numFmt w:val="bullet"/>
      <w:lvlText w:val=""/>
      <w:lvlJc w:val="left"/>
      <w:pPr>
        <w:tabs>
          <w:tab w:val="num" w:pos="0"/>
        </w:tabs>
        <w:ind w:left="420" w:hanging="2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4">
    <w:lvl w:ilvl="0">
      <w:start w:val="1"/>
      <w:numFmt w:val="bullet"/>
      <w:lvlText w:val=""/>
      <w:lvlJc w:val="left"/>
      <w:pPr>
        <w:tabs>
          <w:tab w:val="num" w:pos="0"/>
        </w:tabs>
        <w:ind w:left="420" w:hanging="2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5">
    <w:lvl w:ilvl="0">
      <w:start w:val="1"/>
      <w:numFmt w:val="bullet"/>
      <w:lvlText w:val=""/>
      <w:lvlJc w:val="left"/>
      <w:pPr>
        <w:tabs>
          <w:tab w:val="num" w:pos="0"/>
        </w:tabs>
        <w:ind w:left="420" w:hanging="2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6">
    <w:lvl w:ilvl="0">
      <w:start w:val="1"/>
      <w:numFmt w:val="bullet"/>
      <w:lvlText w:val=""/>
      <w:lvlJc w:val="left"/>
      <w:pPr>
        <w:tabs>
          <w:tab w:val="num" w:pos="0"/>
        </w:tabs>
        <w:ind w:left="420" w:hanging="2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7">
    <w:lvl w:ilvl="0">
      <w:start w:val="1"/>
      <w:numFmt w:val="bullet"/>
      <w:lvlText w:val=""/>
      <w:lvlJc w:val="left"/>
      <w:pPr>
        <w:tabs>
          <w:tab w:val="num" w:pos="0"/>
        </w:tabs>
        <w:ind w:left="420" w:hanging="2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8">
    <w:lvl w:ilvl="0">
      <w:start w:val="1"/>
      <w:numFmt w:val="bullet"/>
      <w:lvlText w:val=""/>
      <w:lvlJc w:val="left"/>
      <w:pPr>
        <w:tabs>
          <w:tab w:val="num" w:pos="0"/>
        </w:tabs>
        <w:ind w:left="420" w:hanging="2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9">
    <w:lvl w:ilvl="0">
      <w:start w:val="1"/>
      <w:numFmt w:val="bullet"/>
      <w:lvlText w:val=""/>
      <w:lvlJc w:val="left"/>
      <w:pPr>
        <w:tabs>
          <w:tab w:val="num" w:pos="0"/>
        </w:tabs>
        <w:ind w:left="420" w:hanging="2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0">
    <w:lvl w:ilvl="0">
      <w:start w:val="1"/>
      <w:numFmt w:val="bullet"/>
      <w:lvlText w:val=""/>
      <w:lvlJc w:val="left"/>
      <w:pPr>
        <w:tabs>
          <w:tab w:val="num" w:pos="0"/>
        </w:tabs>
        <w:ind w:left="420" w:hanging="2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1">
    <w:lvl w:ilvl="0">
      <w:start w:val="1"/>
      <w:numFmt w:val="bullet"/>
      <w:lvlText w:val=""/>
      <w:lvlJc w:val="left"/>
      <w:pPr>
        <w:tabs>
          <w:tab w:val="num" w:pos="0"/>
        </w:tabs>
        <w:ind w:left="420" w:hanging="2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2">
    <w:lvl w:ilvl="0">
      <w:start w:val="1"/>
      <w:numFmt w:val="bullet"/>
      <w:lvlText w:val=""/>
      <w:lvlJc w:val="left"/>
      <w:pPr>
        <w:tabs>
          <w:tab w:val="num" w:pos="0"/>
        </w:tabs>
        <w:ind w:left="420" w:hanging="2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3">
    <w:lvl w:ilvl="0">
      <w:start w:val="1"/>
      <w:numFmt w:val="bullet"/>
      <w:lvlText w:val=""/>
      <w:lvlJc w:val="left"/>
      <w:pPr>
        <w:tabs>
          <w:tab w:val="num" w:pos="0"/>
        </w:tabs>
        <w:ind w:left="420" w:hanging="2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4">
    <w:lvl w:ilvl="0">
      <w:start w:val="1"/>
      <w:numFmt w:val="bullet"/>
      <w:lvlText w:val=""/>
      <w:lvlJc w:val="left"/>
      <w:pPr>
        <w:tabs>
          <w:tab w:val="num" w:pos="0"/>
        </w:tabs>
        <w:ind w:left="420" w:hanging="260"/>
      </w:pPr>
      <w:rPr>
        <w:rFonts w:ascii="Symbol" w:hAnsi="Symbol" w:cs="Symbol" w:hint="default"/>
      </w:rPr>
    </w:lvl>
    <w:lvl w:ilvl="1">
      <w:start w:val="0"/>
      <w:numFmt w:val="decimal"/>
      <w:lvlText w:val=""/>
      <w:lvlJc w:val="left"/>
      <w:pPr>
        <w:tabs>
          <w:tab w:val="num" w:pos="0"/>
        </w:tabs>
        <w:ind w:left="0" w:hanging="0"/>
      </w:pPr>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1"/>
    <w:lvlOverride w:ilvl="0">
      <w:startOverride w:val="1"/>
    </w:lvlOverride>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bering>
</file>

<file path=word/settings.xml><?xml version="1.0" encoding="utf-8"?>
<w:settings xmlns:w="http://schemas.openxmlformats.org/wordprocessingml/2006/main">
  <w:zoom w:percent="12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fr-FR" w:eastAsia="fr-FR"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00"/>
      <w:jc w:val="left"/>
    </w:pPr>
    <w:rPr>
      <w:rFonts w:ascii="Calibri" w:hAnsi="Calibri" w:eastAsia="Calibri" w:cs="Calibri"/>
      <w:color w:val="24313C"/>
      <w:kern w:val="0"/>
      <w:sz w:val="21"/>
      <w:szCs w:val="20"/>
      <w:lang w:val="fr-FR" w:eastAsia="fr-FR" w:bidi="ar-SA"/>
    </w:rPr>
  </w:style>
  <w:style w:type="paragraph" w:styleId="Heading1">
    <w:name w:val="heading 1"/>
    <w:uiPriority w:val="9"/>
    <w:qFormat/>
    <w:pPr>
      <w:keepNext w:val="true"/>
      <w:keepLines/>
      <w:widowControl/>
      <w:pBdr>
        <w:bottom w:val="single" w:sz="8" w:space="5" w:color="9CC2E5"/>
      </w:pBdr>
      <w:suppressAutoHyphens w:val="true"/>
      <w:bidi w:val="0"/>
      <w:spacing w:before="0" w:after="180"/>
      <w:jc w:val="left"/>
      <w:outlineLvl w:val="0"/>
    </w:pPr>
    <w:rPr>
      <w:rFonts w:ascii="Calibri" w:hAnsi="Calibri" w:eastAsia="Calibri" w:cs="Calibri"/>
      <w:b/>
      <w:color w:val="17365D"/>
      <w:kern w:val="0"/>
      <w:sz w:val="34"/>
      <w:szCs w:val="32"/>
      <w:lang w:val="fr-FR" w:eastAsia="fr-FR" w:bidi="ar-SA"/>
    </w:rPr>
  </w:style>
  <w:style w:type="paragraph" w:styleId="Heading2">
    <w:name w:val="heading 2"/>
    <w:uiPriority w:val="9"/>
    <w:unhideWhenUsed/>
    <w:qFormat/>
    <w:pPr>
      <w:keepNext w:val="true"/>
      <w:keepLines/>
      <w:widowControl/>
      <w:suppressAutoHyphens w:val="true"/>
      <w:bidi w:val="0"/>
      <w:spacing w:before="180" w:after="80"/>
      <w:jc w:val="left"/>
      <w:outlineLvl w:val="1"/>
    </w:pPr>
    <w:rPr>
      <w:rFonts w:ascii="Calibri" w:hAnsi="Calibri" w:eastAsia="Calibri" w:cs="Calibri"/>
      <w:b/>
      <w:color w:val="2E75B6"/>
      <w:kern w:val="0"/>
      <w:sz w:val="25"/>
      <w:szCs w:val="26"/>
      <w:lang w:val="fr-FR" w:eastAsia="fr-FR" w:bidi="ar-SA"/>
    </w:rPr>
  </w:style>
  <w:style w:type="paragraph" w:styleId="Heading3">
    <w:name w:val="heading 3"/>
    <w:uiPriority w:val="9"/>
    <w:semiHidden/>
    <w:unhideWhenUsed/>
    <w:qFormat/>
    <w:pPr>
      <w:keepNext w:val="true"/>
      <w:keepLines/>
      <w:widowControl/>
      <w:suppressAutoHyphens w:val="true"/>
      <w:bidi w:val="0"/>
      <w:spacing w:before="100" w:after="20"/>
      <w:jc w:val="left"/>
      <w:outlineLvl w:val="2"/>
    </w:pPr>
    <w:rPr>
      <w:rFonts w:ascii="Calibri" w:hAnsi="Calibri" w:eastAsia="Calibri" w:cs="Calibri"/>
      <w:b/>
      <w:color w:val="17365D"/>
      <w:kern w:val="0"/>
      <w:sz w:val="21"/>
      <w:szCs w:val="24"/>
      <w:lang w:val="fr-FR" w:eastAsia="fr-FR" w:bidi="ar-SA"/>
    </w:rPr>
  </w:style>
  <w:style w:type="paragraph" w:styleId="Heading4">
    <w:name w:val="heading 4"/>
    <w:uiPriority w:val="9"/>
    <w:semiHidden/>
    <w:unhideWhenUsed/>
    <w:qFormat/>
    <w:pPr>
      <w:widowControl/>
      <w:suppressAutoHyphens w:val="true"/>
      <w:bidi w:val="0"/>
      <w:spacing w:before="0" w:after="0"/>
      <w:jc w:val="left"/>
      <w:outlineLvl w:val="3"/>
    </w:pPr>
    <w:rPr>
      <w:rFonts w:ascii="Times New Roman" w:hAnsi="Times New Roman" w:eastAsia="Times New Roman" w:cs="Times New Roman"/>
      <w:i/>
      <w:iCs/>
      <w:color w:val="2E74B5"/>
      <w:kern w:val="0"/>
      <w:sz w:val="20"/>
      <w:szCs w:val="20"/>
      <w:lang w:val="fr-FR" w:eastAsia="fr-FR" w:bidi="ar-SA"/>
    </w:rPr>
  </w:style>
  <w:style w:type="paragraph" w:styleId="Heading5">
    <w:name w:val="heading 5"/>
    <w:uiPriority w:val="9"/>
    <w:semiHidden/>
    <w:unhideWhenUsed/>
    <w:qFormat/>
    <w:pPr>
      <w:widowControl/>
      <w:suppressAutoHyphens w:val="true"/>
      <w:bidi w:val="0"/>
      <w:spacing w:before="0" w:after="0"/>
      <w:jc w:val="left"/>
      <w:outlineLvl w:val="4"/>
    </w:pPr>
    <w:rPr>
      <w:rFonts w:ascii="Times New Roman" w:hAnsi="Times New Roman" w:eastAsia="Times New Roman" w:cs="Times New Roman"/>
      <w:color w:val="2E74B5"/>
      <w:kern w:val="0"/>
      <w:sz w:val="20"/>
      <w:szCs w:val="20"/>
      <w:lang w:val="fr-FR" w:eastAsia="fr-FR" w:bidi="ar-SA"/>
    </w:rPr>
  </w:style>
  <w:style w:type="paragraph" w:styleId="Heading6">
    <w:name w:val="heading 6"/>
    <w:uiPriority w:val="9"/>
    <w:semiHidden/>
    <w:unhideWhenUsed/>
    <w:qFormat/>
    <w:pPr>
      <w:widowControl/>
      <w:suppressAutoHyphens w:val="true"/>
      <w:bidi w:val="0"/>
      <w:spacing w:before="0" w:after="0"/>
      <w:jc w:val="left"/>
      <w:outlineLvl w:val="5"/>
    </w:pPr>
    <w:rPr>
      <w:rFonts w:ascii="Times New Roman" w:hAnsi="Times New Roman" w:eastAsia="Times New Roman" w:cs="Times New Roman"/>
      <w:color w:val="1F4D78"/>
      <w:kern w:val="0"/>
      <w:sz w:val="20"/>
      <w:szCs w:val="20"/>
      <w:lang w:val="fr-FR" w:eastAsia="fr-FR"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NotedebasdepageCar" w:customStyle="1">
    <w:name w:val="Note de bas de page C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NotedefinCar" w:customStyle="1">
    <w:name w:val="Note de fin C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uiPriority w:val="10"/>
    <w:qFormat/>
    <w:pPr>
      <w:widowControl/>
      <w:suppressAutoHyphens w:val="true"/>
      <w:bidi w:val="0"/>
      <w:spacing w:before="0" w:after="0"/>
      <w:jc w:val="left"/>
    </w:pPr>
    <w:rPr>
      <w:rFonts w:ascii="Times New Roman" w:hAnsi="Times New Roman" w:eastAsia="Times New Roman" w:cs="Times New Roman"/>
      <w:color w:val="auto"/>
      <w:kern w:val="0"/>
      <w:sz w:val="56"/>
      <w:szCs w:val="56"/>
      <w:lang w:val="fr-FR" w:eastAsia="fr-FR" w:bidi="ar-SA"/>
    </w:rPr>
  </w:style>
  <w:style w:type="paragraph" w:styleId="lev1" w:customStyle="1">
    <w:name w:val="Élevé1"/>
    <w:qFormat/>
    <w:pPr>
      <w:widowControl/>
      <w:suppressAutoHyphens w:val="true"/>
      <w:bidi w:val="0"/>
      <w:spacing w:before="0" w:after="0"/>
      <w:jc w:val="left"/>
    </w:pPr>
    <w:rPr>
      <w:rFonts w:ascii="Times New Roman" w:hAnsi="Times New Roman" w:eastAsia="Times New Roman" w:cs="Times New Roman"/>
      <w:b/>
      <w:bCs/>
      <w:color w:val="auto"/>
      <w:kern w:val="0"/>
      <w:sz w:val="20"/>
      <w:szCs w:val="20"/>
      <w:lang w:val="fr-FR" w:eastAsia="fr-FR" w:bidi="ar-SA"/>
    </w:rPr>
  </w:style>
  <w:style w:type="paragraph" w:styleId="ListParagraph">
    <w:name w:val="List Paragraph"/>
    <w:qFormat/>
    <w:pPr>
      <w:widowControl/>
      <w:suppressAutoHyphens w:val="true"/>
      <w:bidi w:val="0"/>
      <w:spacing w:lineRule="auto" w:line="247" w:before="0" w:after="40"/>
      <w:ind w:hanging="142" w:left="312"/>
      <w:jc w:val="left"/>
    </w:pPr>
    <w:rPr>
      <w:rFonts w:ascii="Calibri" w:hAnsi="Calibri" w:eastAsia="Calibri" w:cs="Calibri"/>
      <w:color w:val="24313C"/>
      <w:kern w:val="0"/>
      <w:sz w:val="20"/>
      <w:szCs w:val="20"/>
      <w:lang w:val="fr-FR" w:eastAsia="fr-FR" w:bidi="ar-SA"/>
    </w:rPr>
  </w:style>
  <w:style w:type="paragraph" w:styleId="FootnoteText">
    <w:name w:val="footnote text"/>
    <w:link w:val="NotedebasdepageCar"/>
    <w:uiPriority w:val="99"/>
    <w:semiHidden/>
    <w:unhideWhenUsed/>
    <w:pPr>
      <w:widowControl/>
      <w:suppressAutoHyphens w:val="true"/>
      <w:bidi w:val="0"/>
      <w:spacing w:before="0" w:after="0"/>
      <w:jc w:val="left"/>
    </w:pPr>
    <w:rPr>
      <w:rFonts w:ascii="Times New Roman" w:hAnsi="Times New Roman" w:eastAsia="Times New Roman" w:cs="Times New Roman"/>
      <w:color w:val="auto"/>
      <w:kern w:val="0"/>
      <w:sz w:val="20"/>
      <w:szCs w:val="20"/>
      <w:lang w:val="fr-FR" w:eastAsia="fr-FR" w:bidi="ar-SA"/>
    </w:rPr>
  </w:style>
  <w:style w:type="paragraph" w:styleId="EndnoteText">
    <w:name w:val="endnote text"/>
    <w:link w:val="NotedefinCar"/>
    <w:uiPriority w:val="99"/>
    <w:semiHidden/>
    <w:unhideWhenUsed/>
    <w:pPr>
      <w:widowControl/>
      <w:suppressAutoHyphens w:val="true"/>
      <w:bidi w:val="0"/>
      <w:spacing w:before="0" w:after="0"/>
      <w:jc w:val="left"/>
    </w:pPr>
    <w:rPr>
      <w:rFonts w:ascii="Times New Roman" w:hAnsi="Times New Roman" w:eastAsia="Times New Roman" w:cs="Times New Roman"/>
      <w:color w:val="auto"/>
      <w:kern w:val="0"/>
      <w:sz w:val="20"/>
      <w:szCs w:val="20"/>
      <w:lang w:val="fr-FR" w:eastAsia="fr-FR" w:bidi="ar-SA"/>
    </w:rPr>
  </w:style>
  <w:style w:type="paragraph" w:styleId="TOC1">
    <w:name w:val="toc 1"/>
    <w:basedOn w:val="Normal"/>
    <w:next w:val="Normal"/>
    <w:autoRedefine/>
    <w:uiPriority w:val="39"/>
    <w:unhideWhenUsed/>
    <w:rsid w:val="00421a6f"/>
    <w:pPr>
      <w:spacing w:lineRule="auto" w:line="240" w:before="0" w:after="20"/>
    </w:pPr>
    <w:rPr>
      <w:rFonts w:ascii="Calibri" w:hAnsi="Calibri" w:eastAsia="Calibri" w:cs="Calibri"/>
      <w:b/>
      <w:color w:val="17365D"/>
      <w:sz w:val="19"/>
    </w:rPr>
  </w:style>
  <w:style w:type="paragraph" w:styleId="TOC2">
    <w:name w:val="toc 2"/>
    <w:basedOn w:val="Normal"/>
    <w:next w:val="Normal"/>
    <w:autoRedefine/>
    <w:uiPriority w:val="39"/>
    <w:unhideWhenUsed/>
    <w:rsid w:val="00421a6f"/>
    <w:pPr>
      <w:spacing w:lineRule="auto" w:line="240" w:before="0" w:after="0"/>
      <w:ind w:left="255"/>
    </w:pPr>
    <w:rPr>
      <w:rFonts w:ascii="Calibri" w:hAnsi="Calibri" w:eastAsia="Calibri" w:cs="Calibri"/>
      <w:color w:val="24313C"/>
      <w:sz w:val="17"/>
    </w:rPr>
  </w:style>
  <w:style w:type="paragraph" w:styleId="Titretabledesmatires" w:customStyle="1">
    <w:name w:val="Titre table des matières"/>
    <w:basedOn w:val="Normal"/>
    <w:qFormat/>
    <w:pPr>
      <w:keepNext w:val="true"/>
      <w:pBdr>
        <w:bottom w:val="single" w:sz="8" w:space="5" w:color="9CC2E5"/>
      </w:pBdr>
      <w:spacing w:before="0" w:after="240"/>
    </w:pPr>
    <w:rPr>
      <w:rFonts w:ascii="Calibri" w:hAnsi="Calibri" w:eastAsia="Calibri" w:cs="Calibri"/>
      <w:b/>
      <w:color w:val="17365D"/>
      <w:sz w:val="38"/>
    </w:rPr>
  </w:style>
  <w:style w:type="paragraph" w:styleId="Encadrprojet" w:customStyle="1">
    <w:name w:val="Encadré projet"/>
    <w:basedOn w:val="Normal"/>
    <w:qFormat/>
    <w:pPr>
      <w:keepLines/>
      <w:pBdr>
        <w:left w:val="single" w:sz="18" w:space="8" w:color="2E75B6"/>
      </w:pBdr>
      <w:shd w:val="clear" w:fill="EEF4F9"/>
      <w:spacing w:before="80" w:after="140"/>
      <w:ind w:left="85" w:right="85"/>
    </w:pPr>
    <w:rPr>
      <w:rFonts w:ascii="Calibri" w:hAnsi="Calibri" w:eastAsia="Calibri" w:cs="Calibri"/>
      <w:color w:val="24313C"/>
      <w:sz w:val="20"/>
    </w:rPr>
  </w:style>
  <w:style w:type="paragraph" w:styleId="Chapeau" w:customStyle="1">
    <w:name w:val="Chapeau"/>
    <w:basedOn w:val="Normal"/>
    <w:qFormat/>
    <w:pPr>
      <w:keepLines/>
      <w:pBdr>
        <w:left w:val="single" w:sz="18" w:space="8" w:color="2E75B6"/>
      </w:pBdr>
      <w:shd w:val="clear" w:fill="EEF4F9"/>
      <w:spacing w:before="0" w:after="160"/>
    </w:pPr>
    <w:rPr>
      <w:rFonts w:ascii="Calibri" w:hAnsi="Calibri" w:eastAsia="Calibri" w:cs="Calibri"/>
      <w:b/>
      <w:color w:val="17365D"/>
      <w:sz w:val="21"/>
    </w:rPr>
  </w:style>
  <w:style w:type="paragraph" w:styleId="Notefinaliser" w:customStyle="1">
    <w:name w:val="Note à finaliser"/>
    <w:basedOn w:val="Normal"/>
    <w:qFormat/>
    <w:pPr>
      <w:pBdr>
        <w:left w:val="single" w:sz="12" w:space="8" w:color="AAB7C4"/>
      </w:pBdr>
      <w:shd w:val="clear" w:fill="F3F5F7"/>
      <w:spacing w:before="60" w:after="120"/>
      <w:ind w:left="85" w:right="85"/>
    </w:pPr>
    <w:rPr>
      <w:rFonts w:ascii="Calibri" w:hAnsi="Calibri" w:eastAsia="Calibri" w:cs="Calibri"/>
      <w:i/>
      <w:color w:val="6B7785"/>
      <w:sz w:val="19"/>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TotalTime>
  <Application>LibreOffice/25.2.3.2$Linux_X86_64 LibreOffice_project/520$Build-2</Application>
  <AppVersion>15.0000</AppVersion>
  <Pages>13</Pages>
  <Words>3163</Words>
  <Characters>17092</Characters>
  <CharactersWithSpaces>19761</CharactersWithSpaces>
  <Paragraphs>440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2026-07-15T17:20:00Z</dcterms:created>
  <dc:creator>Un-named</dc:creator>
  <dc:description/>
  <cp:keywords>Helpdesk GLPI Proxmox PRA DR RPO RTO</cp:keywords>
  <dc:language>en-US</dc:language>
  <cp:lastModifiedBy/>
  <dcterms:modified xsi:type="dcterms:W3CDTF">2026-07-15T19:05:05Z</dcterms:modified>
  <cp:revision>9</cp:revision>
  <dc:subject>Document de synthèse du projet Helpdesk Atlas</dc:subject>
  <dc:title>Projet Helpdesk Atlas - Portail de tickets et PRA/DR</dc:title>
</cp:coreProperties>
</file>

<file path=docProps/custom.xml><?xml version="1.0" encoding="utf-8"?>
<Properties xmlns="http://schemas.openxmlformats.org/officeDocument/2006/custom-properties" xmlns:vt="http://schemas.openxmlformats.org/officeDocument/2006/docPropsVTypes"/>
</file>