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40"/>
      </w:pPr>
      <w:r>
        <w:rPr>
          <w:rFonts w:ascii="Arial" w:cs="Arial" w:eastAsia="Arial" w:hAnsi="Arial"/>
          <w:b/>
          <w:bCs/>
          <w:color w:val="3D5040"/>
          <w:sz w:val="64"/>
          <w:szCs w:val="64"/>
        </w:rPr>
        <w:t xml:space="preserve">HIGH DESERT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8F6E"/>
          <w:sz w:val="28"/>
          <w:szCs w:val="28"/>
        </w:rPr>
        <w:t xml:space="preserve">Funding Strategy &amp; Pipeline — v3</w:t>
      </w:r>
    </w:p>
    <w:p>
      <w:pPr>
        <w:pBdr>
          <w:bottom w:val="single" w:color="B5541F" w:sz="16" w:space="2"/>
        </w:pBd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color w:val="55504A"/>
          <w:sz w:val="20"/>
          <w:szCs w:val="20"/>
        </w:rPr>
        <w:t xml:space="preserve">June 2026 · Companion to Business Plan v11 · Deadlines verified June 10, 2026 — reconfirm at each portal before submitting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Bdr>
          <w:left w:val="single" w:color="B5541F" w:sz="24" w:space="10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color w:val="2A2A28"/>
          <w:sz w:val="24"/>
          <w:szCs w:val="24"/>
        </w:rPr>
        <w:t xml:space="preserve">Resiliency means no single funder — public or private — can bend this. Dues fund the core; everything else is additive, diversified, capped, and disclosed.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This document maps every viable funding source for High Desert, sequenced for speed and built for resiliency. Private funding leads; a separate government track follows, on High Desert’s transparency terms. The Master Case for Support and the Grant Applications Pack are companions — the reusable narrative and the ready-to-send letters.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D5040" w:sz="6" w:space="5"/>
        </w:pBdr>
        <w:spacing w:after="170" w:before="540"/>
      </w:pPr>
      <w:r>
        <w:rPr>
          <w:rFonts w:ascii="Arial" w:cs="Arial" w:eastAsia="Arial" w:hAnsi="Arial"/>
          <w:b/>
          <w:bCs/>
          <w:color w:val="3D5040"/>
          <w:sz w:val="31"/>
          <w:szCs w:val="31"/>
        </w:rPr>
        <w:t xml:space="preserve">01 — Act This Month: the Critical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5541F" w:sz="1"/>
              <w:left w:val="single" w:color="B5541F" w:sz="1"/>
              <w:bottom w:val="single" w:color="B5541F" w:sz="1"/>
              <w:right w:val="single" w:color="B5541F" w:sz="1"/>
            </w:tcBorders>
            <w:shd w:fill="B554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GATE</w:t>
            </w:r>
          </w:p>
        </w:tc>
        <w:tc>
          <w:tcPr>
            <w:tcW w:type="dxa" w:w="7860"/>
            <w:tcBorders>
              <w:top w:val="single" w:color="B5541F" w:sz="1"/>
              <w:left w:val="single" w:color="B5541F" w:sz="1"/>
              <w:bottom w:val="single" w:color="B5541F" w:sz="1"/>
              <w:right w:val="single" w:color="B5541F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Almost every institutional funder requires either a 501(c)(3) determination letter or a fiscal sponsor. High Desert’s determination is months away — so a fiscal sponsorship agreement is the single unlock for 2026 money. Securing one is this month’s most important funding task.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Verified Time-Sensitive Windows (as of June 10,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2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Deadline</w:t>
            </w:r>
          </w:p>
        </w:tc>
        <w:tc>
          <w:tcPr>
            <w:tcW w:type="dxa" w:w="456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Status &amp; Move</w:t>
            </w:r>
          </w:p>
        </w:tc>
      </w:tr>
      <w:tr>
        <w:tc>
          <w:tcPr>
            <w:tcW w:type="dxa" w:w="26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OCF Fall Community Grants (up to $40K; typical $15–20K)</w:t>
            </w:r>
          </w:p>
        </w:tc>
        <w:tc>
          <w:tcPr>
            <w:tcW w:type="dxa" w:w="22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June 23, 2026, 5pm — new-applicant account form by June 18</w:t>
            </w:r>
          </w:p>
        </w:tc>
        <w:tc>
          <w:tcPr>
            <w:tcW w:type="dxa" w:w="45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Open now; accepts fiscal sponsorship (materials due with application) and requires Oregon DOJ registration. Honest call: feasible only if a sponsor signs within days. Register the MyOCF account by June 18 regardless — it costs nothing and unlocks the Spring 2027 cycle (apps Dec–mid-Jan, which prioritized small rural and culturally responsive organizations in 2026).</w:t>
            </w:r>
          </w:p>
        </w:tc>
      </w:tr>
      <w:tr>
        <w:tc>
          <w:tcPr>
            <w:tcW w:type="dxa" w:w="26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Roundhouse Foundation — Fall Open Call</w:t>
            </w:r>
          </w:p>
        </w:tc>
        <w:tc>
          <w:tcPr>
            <w:tcW w:type="dxa" w:w="22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Window open June–August 2026</w:t>
            </w:r>
          </w:p>
        </w:tc>
        <w:tc>
          <w:tcPr>
            <w:tcW w:type="dxa" w:w="45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Open now. Sisters-based, rural Central Oregon is the home turf, and they explicitly fund fiscally-sponsored projects. This is the flagship 2026 target. Decisions ≈ 8–12 weeks.</w:t>
            </w:r>
          </w:p>
        </w:tc>
      </w:tr>
      <w:tr>
        <w:tc>
          <w:tcPr>
            <w:tcW w:type="dxa" w:w="26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Roundhouse Foundation — Small Grants</w:t>
            </w:r>
          </w:p>
        </w:tc>
        <w:tc>
          <w:tcPr>
            <w:tcW w:type="dxa" w:w="22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Rolling LOIs through Nov 30</w:t>
            </w:r>
          </w:p>
        </w:tc>
        <w:tc>
          <w:tcPr>
            <w:tcW w:type="dxa" w:w="45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Open now. Entry-level grassroots grants; the fastest credible institutional dollars available. Submit the LOI (in the Grant Pack) as soon as sponsorship is signed.</w:t>
            </w:r>
          </w:p>
        </w:tc>
      </w:tr>
      <w:tr>
        <w:tc>
          <w:tcPr>
            <w:tcW w:type="dxa" w:w="26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Ford Family Foundation — Good Neighbor / Technical Assistance</w:t>
            </w:r>
          </w:p>
        </w:tc>
        <w:tc>
          <w:tcPr>
            <w:tcW w:type="dxa" w:w="22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Rolling, no deadline</w:t>
            </w:r>
          </w:p>
        </w:tc>
        <w:tc>
          <w:tcPr>
            <w:tcW w:type="dxa" w:w="45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Open, but call the program officer first — see the eligibility note in §02. TA grants (orgs under $1M budget) can fund formation and fundraising capacity.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Fiscal Sponsor — Decision This Week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What it 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an established 501(c)(3) receives restricted grants and donations on High Desert’s behalf for a 5–10% admin fee until the determination letter arrives. Roundhouse and OCF both accept sponsored applicants by policy.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First call: Connect Central Oregon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a regional capacity-building nonprofit whose explicit role is incubating and partnering with Central Oregon organizations — either a direct sponsor or the best-positioned source of a referral to one. Other local candidates come through Compass’s and Herringbone’s board networks. Ask: “would you sponsor a six-to-twelve-month pass-through while our determination is pending, or point us to who would?”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National fallbacks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established multi-project sponsors (e.g., Social Good Fund and similar 501(c)(3) sponsor organizations) sign quickly at standard fees if no local option lands within two weeks.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Exit built 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the agreement should state that grants and donor relationships transfer to High Desert upon determination.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Also This Month (no sponsor needed)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Oregon DOJ Charitable Activities registration — required before soliciting; file with formation paperwork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MyOCF nonprofit account — by June 18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Roundhouse introduction — email or call; they welcome pre-application contact, and Sisters is a short drive: go in person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Founding Supporters campaign design — individual giving launches with the platform in October; receipts note determination pending, deductibility retroactive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D5040" w:sz="6" w:space="5"/>
        </w:pBdr>
        <w:spacing w:after="170" w:before="540"/>
      </w:pPr>
      <w:r>
        <w:rPr>
          <w:rFonts w:ascii="Arial" w:cs="Arial" w:eastAsia="Arial" w:hAnsi="Arial"/>
          <w:b/>
          <w:bCs/>
          <w:color w:val="3D5040"/>
          <w:sz w:val="31"/>
          <w:szCs w:val="31"/>
        </w:rPr>
        <w:t xml:space="preserve">02 — Private Funding (Primary Track)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Tier 1 — Regional Anchors (2026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tcW w:type="dxa" w:w="23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Funder</w:t>
            </w:r>
          </w:p>
        </w:tc>
        <w:tc>
          <w:tcPr>
            <w:tcW w:type="dxa" w:w="23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Mechanics (verified)</w:t>
            </w:r>
          </w:p>
        </w:tc>
        <w:tc>
          <w:tcPr>
            <w:tcW w:type="dxa" w:w="476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Fit &amp; Strategy</w:t>
            </w:r>
          </w:p>
        </w:tc>
      </w:tr>
      <w:tr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Roundhouse Foundation (Sisters, OR)</w:t>
            </w:r>
          </w:p>
        </w:tc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Small Grants: rolling LOIs Jan–Nov 30, 8–12 wk decisions. Open Call: spring (Jan–Mar) and fall (Jun–Aug) cycles. Grants commonly $10K–$100K; multi-year possible. Funds 501(c)(3)s, fiscally-sponsored projects, Tribal governments.</w:t>
            </w:r>
          </w:p>
        </w:tc>
        <w:tc>
          <w:tcPr>
            <w:tcW w:type="dxa" w:w="47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Best fit in the country for this project: rural Central Oregon focus, arts/community/education lenses, comfort with grassroots innovation. Sequence: Small Grant LOI in July (launch capacity, ~$12.5K) → Fall Open Call application in August (flagship two-year program, ~$48K). One relationship, two asks, properly spaced.</w:t>
            </w:r>
          </w:p>
        </w:tc>
      </w:tr>
      <w:tr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Oregon Community Foundation</w:t>
            </w:r>
          </w:p>
        </w:tc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Community Grants: two cycles/yr; Fall 2026 closes June 23; Spring 2027 apps Dec–mid-Jan, decisions ≈ May. Up to $40K, one year. Fiscal sponsorship accepted. Two-cycle sit-out after a win.</w:t>
            </w:r>
          </w:p>
        </w:tc>
        <w:tc>
          <w:tcPr>
            <w:tcW w:type="dxa" w:w="47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Statewide credibility anchor; Central Oregon regional staff in Bend — build the relationship now. Spring 2027 is the planned entry (small-rural priority cycle); June 23 only if sponsorship closes immediately. Also: OCF’s donor-advised funds discover grantees through program staff — the relationship compounds.</w:t>
            </w:r>
          </w:p>
        </w:tc>
      </w:tr>
      <w:tr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The Ford Family Foundation (Roseburg)</w:t>
            </w:r>
          </w:p>
        </w:tc>
        <w:tc>
          <w:tcPr>
            <w:tcW w:type="dxa" w:w="23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Rolling applications, no deadlines. Good Neighbor grants (flexible community initiatives) and Technical Assistance grants (orgs under $1M; consultants, training). Awards commonly $5K–$25K+.</w:t>
            </w:r>
          </w:p>
        </w:tc>
        <w:tc>
          <w:tcPr>
            <w:tcW w:type="dxa" w:w="47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Eligibility nuance, honestly: their “rural” means ≤35K population and not adjacent to a 50K+ metro — Redmond alone is borderline on both. The credible frames: (a) Central Oregon’s clearly-rural towns (Sisters, La Pine, Madras, Prineville, Terrebonne, Culver) as the platform’s service horizon; (b) a TA grant for organizational capacity benefiting that rural footprint. Call the program officer before applying — they invite it, and the call settles eligibility in ten minutes.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Tier 2 — Statewide Foundations (2027, with determination letter)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The Collins Foundation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Oregon-wide; $5K–$100K; project and operating support; accessible process. Strong community-welfare fit. Apply after determination, with launch results in hand.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Meyer Memorial Trust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large Oregon funder organized around equity and community power; annual funding opportunities. Moderate fit via community-voice and belonging framing — watch the 2027 opportunity announcements and apply only if the portfolio language genuinely matches.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Small Oregon trusts (Autzen Foundation, Rose E. Tucker Charitable Trust, and peers)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modest general-purpose grants, typically low five figures or less, light applications. Good 2027 fill-ins once determined; verify current guidelines at application time.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Tier 3 — National Civic-Information Funders (watch list + one partnership play)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National civic-tech and local-news philanthropy is real money but episodic, and High Desert is not a newsroom — so this tier is played through positioning and partnership, not cold applications: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Press Forward (pooled fund + ~31 local chapters)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periodic open calls — past rounds funded small local outlets (~$100K unrestricted) and news infrastructure ($500K–$1.5M). The live opportunity is a joint concept with Redmond Compass: Compass as the original-reporting outlet, High Desert as the verified civic-distribution layer — “community information system” is exactly the language their rural cohorts use. Action now: create the JustFund organizational profile (coalition funders browse it between open calls) and watch announcements.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Adjacent funders (Siegel Family Endowment, Democracy Fund, Knight, and the New_ Public ecosystem)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mostly invitation-only or city-bound; treat as relationship and visibility targets — the open-sourced governance model and the transparency reports are the credibility artifacts that get noticed — not as pipeline.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Tier 4 — Hyper-Local &amp; Corporate (small, fast, trust-building)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Small checks that arrive quickly and — more importantly — put recognizable local names behind the founding story. In a region wary of outside money, a local co-op’s logo is worth more than its dollar amount: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Central Electric Cooperative (HQ Redmond)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member-owned co-op and an active charitable grantmaker (roughly $950K in recent annual giving). The philosophical kinship is real — a cooperative funding commons infrastructure. Approach by direct inquiry with the one-page case; verify their current program mechanics when you call.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First Interstate Bank foundation giving (Redmond branch footprint)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ongoing local-community grants; small, fast, brand-credible. Verify the current cycle.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Mid Oregon Credit Union, BendBroadband/TDS community giving, local Rotary and Kiwanis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$500–$5K sponsorships, especially for events, the internship showcase, and Spanish-language outreach.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City of Redmond / Visit Redmond / REDI / Deschutes County discretionary programs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more civic legitimacy than money; pursue selectively in 2027 under the government-transparency posture.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D5040" w:sz="6" w:space="5"/>
        </w:pBdr>
        <w:spacing w:after="170" w:before="540"/>
      </w:pPr>
      <w:r>
        <w:rPr>
          <w:rFonts w:ascii="Arial" w:cs="Arial" w:eastAsia="Arial" w:hAnsi="Arial"/>
          <w:b/>
          <w:bCs/>
          <w:color w:val="3D5040"/>
          <w:sz w:val="31"/>
          <w:szCs w:val="31"/>
        </w:rPr>
        <w:t xml:space="preserve">03 — Government Funding (Separate Track, 2028+)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D5040" w:sz="1"/>
              <w:left w:val="single" w:color="3D5040" w:sz="1"/>
              <w:bottom w:val="single" w:color="3D5040" w:sz="1"/>
              <w:right w:val="single" w:color="3D5040" w:sz="1"/>
            </w:tcBorders>
            <w:shd w:fill="3D5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POSTURE</w:t>
            </w:r>
          </w:p>
        </w:tc>
        <w:tc>
          <w:tcPr>
            <w:tcW w:type="dxa" w:w="7860"/>
            <w:tcBorders>
              <w:top w:val="single" w:color="3D5040" w:sz="1"/>
              <w:left w:val="single" w:color="3D5040" w:sz="1"/>
              <w:bottom w:val="single" w:color="3D5040" w:sz="1"/>
              <w:right w:val="single" w:color="3D5040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Government money is accepted — sequenced after local trust is established, used for infrastructure-scale work only, never core operations, and wrapped in radical transparency: every dollar, condition, and reporting obligation published. Refused outright if any condition touches the foundational commitments.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The Honest Federal Landscape (verified June 2026)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Digital Equity Act programs — terminated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all three programs ($2.75B) were cancelled by the administration in May 2025. Do not plan around them; if reinstated by litigation or a future Congress, the Competitive program would be a strong fit — watch only.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USDA Community Connect (FY2026 open) and Distance Learning &amp; Telemedicine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funded (~$44M combined) but deployment- and telehealth-shaped — not a platform fit today. Relevant later as a Warm Springs infrastructure pathway.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Tribal broadband (NTIA TBCP)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no open window in 2026; awarded tribes are in buildout. The 2029+ Warm Springs co-application runs through BEAD tribal set-asides and the Oregon Broadband Office instead — begin that relationship in 2027–28.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USDA ReConnect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facing proposed cuts; monitor, don’t plan on it.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State &amp; Local (small, mission-specific, 2027–28)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Oregon Heritage Commission grants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the natural funder for the historical-archive feature (Phase 2) — apply only after Warm Springs consultation shapes the archive’s design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Oregon Humanities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periodic program grants for community conversation and public dialogue — fits the listening-session and civic-dialogue work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Deschutes Cultural Coalition (Oregon Cultural Trust pass-through)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small annual grants ($1–3K) for culture and heritage projects — easy, local, archive- and event-adjacent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Oregon Broadband Office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the standing relationship for the Connect program and the Warm Springs horizon — open it in 2027; state broadband deployment subgrants and tribal set-asides both route through this office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The Connect Infrastructure Track (2028+, deployment-shaped)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High Desert Connect — rural connectivity pilots and the Tribal Digital Sovereignty Program — opens a distinct government lane. Every entry follows the posture: infrastructure only, never operations, fully disclosed, and for tribal work the Tribes lead and own everything.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USDA Community Connect &amp; Distance Learning/Telemedicine (FY2026 open, ~$44M combined)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deployment- and facility-shaped — viable only with a deployment partner (a rural utility cooperative or ISP builds; High Desert is community anchor). The cooperative kinship with Central Electric is the natural opening conversation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The coalition path (join first)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the Oregon Broadband Equity Coalition — OSU Extension–led, free to join, with Tribal Nations, providers, and government at the table — is where rural and tribal connectivity work is coordinated and funded. Link Oregon (network services to tribal/education/nonprofit sectors) and Central Electric Cooperative (Redmond deployment partner) are the technical allies met through it. This network, not a cold application, is the credible entry to every line below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State broadband set-asides (via Oregon Broadband Office)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the live channel for tribal-lands connectivity in 2026+ — the Warm Springs co-application pathway, with the Tribes as lead applicant and owner of all assets. The Warm Springs Community Action Team, a tribal-member-led nonprofit with grant capacity on staff, is the relationship through which this work eventually becomes real — on the Tribes’ timeline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Federal tribal broadband (NTIA)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no open window in 2026; awarded tribes are in buildout. Watch for reopening; if it returns, it is the flagship tribal-program vehicle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College-led federal education awards (NSF scholarship, technician-education, and two-year-college programs)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COCC and OSU-Cascades are developing a regional data-literacy and makerspace pathway funded through these institutional channels. High Desert is not the applicant — the honest role is named community partner: deployment sites, internship placements, letters of collaboration, and possibly a modest community-partner subaward. Value to High Desert: pipeline, equipment access, and credibility, not direct revenue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Future Ready Oregon / state workforce funds (HECC)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earn-and-learn money for the internship program’s expansion, in partnership with COCC’s apprenticeship infrastructure and East Cascades Works (the regional workforce board) — moderate fit, pursue with the college or workforce board as lead. EDCO is the bridge to Business Oregon and the Oregon Innovation Council for any economic-development framing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i w:val="false"/>
          <w:iCs w:val="false"/>
          <w:color w:val="2A2A28"/>
          <w:sz w:val="22"/>
          <w:szCs w:val="22"/>
        </w:rPr>
        <w:t xml:space="preserve">Meta Prineville Community Action Grants (~$1.4K–$30K observed; deadline ~November)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 — real money with a hard geographic rule: Crook County 501(c)(3)s and schools. Not available to High Desert today; becomes live when Prineville enters petition range or via a Crook County partner organization — flagged for the 2027–28 calendar, honestly conditional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D5040" w:sz="6" w:space="5"/>
        </w:pBdr>
        <w:spacing w:after="170" w:before="540"/>
      </w:pPr>
      <w:r>
        <w:rPr>
          <w:rFonts w:ascii="Arial" w:cs="Arial" w:eastAsia="Arial" w:hAnsi="Arial"/>
          <w:b/>
          <w:bCs/>
          <w:color w:val="3D5040"/>
          <w:sz w:val="31"/>
          <w:szCs w:val="31"/>
        </w:rPr>
        <w:t xml:space="preserve">04 — Resiliency Rules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Dues fund core operations, always — if every grant vanished tomorrow, the platform runs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No single funder exceeds 30% of annual revenue; government in total stays ≤25%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Individual giving is cultivated as the third leg — target ≥15% of revenue by 2028; a hundred locals at $50 beats one foundation at $5,000 for both resilience and legitimacy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Pipeline discipline — once eligible, keep at least three applications live at all times; never depend on any one decision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No grant whose conditions touch the foundational commitments; every grant and its conditions published in the quarterly transparency report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Renewal calendar — every award enters a calendar with its report dates and reapplication window the day it arrives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Partner-as-route — for the ambitious work (connectivity, the bridge program, tribal infrastructure), pursue funding as a subawardee, co-applicant, or deployment partner through an established organization; shared funding is faster, more eligible, and more credible than leading alone, and the founding team states this openness plainly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Revenue Mix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60"/>
      </w:tblGrid>
      <w:tr>
        <w:tc>
          <w:tcPr>
            <w:tcW w:type="dxa" w:w="17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Dues + Individual</w:t>
            </w:r>
          </w:p>
        </w:tc>
        <w:tc>
          <w:tcPr>
            <w:tcW w:type="dxa" w:w="25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266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Government</w:t>
            </w:r>
          </w:p>
        </w:tc>
      </w:tr>
      <w:tr>
        <w:tc>
          <w:tcPr>
            <w:tcW w:type="dxa" w:w="17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2026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~60–70%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~30–40% (Roundhouse + locals)</w:t>
            </w:r>
          </w:p>
        </w:tc>
        <w:tc>
          <w:tcPr>
            <w:tcW w:type="dxa" w:w="26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7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2027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~45–55%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~45–55% (OCF, Collins, Ford)</w:t>
            </w:r>
          </w:p>
        </w:tc>
        <w:tc>
          <w:tcPr>
            <w:tcW w:type="dxa" w:w="26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7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2028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~40%+</w:t>
            </w:r>
          </w:p>
        </w:tc>
        <w:tc>
          <w:tcPr>
            <w:tcW w:type="dxa" w:w="25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≤40%</w:t>
            </w:r>
          </w:p>
        </w:tc>
        <w:tc>
          <w:tcPr>
            <w:tcW w:type="dxa" w:w="26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≤25%, infrastructure only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D5040" w:sz="6" w:space="5"/>
        </w:pBdr>
        <w:spacing w:after="170" w:before="540"/>
      </w:pPr>
      <w:r>
        <w:rPr>
          <w:rFonts w:ascii="Arial" w:cs="Arial" w:eastAsia="Arial" w:hAnsi="Arial"/>
          <w:b/>
          <w:bCs/>
          <w:color w:val="3D5040"/>
          <w:sz w:val="31"/>
          <w:szCs w:val="31"/>
        </w:rPr>
        <w:t xml:space="preserve">05 — The 18-Month Funding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When</w:t>
            </w:r>
          </w:p>
        </w:tc>
        <w:tc>
          <w:tcPr>
            <w:tcW w:type="dxa" w:w="7360"/>
            <w:tcBorders>
              <w:top w:val="single" w:color="6B8F6E" w:sz="1"/>
              <w:left w:val="single" w:color="6B8F6E" w:sz="1"/>
              <w:bottom w:val="single" w:color="6B8F6E" w:sz="1"/>
              <w:right w:val="single" w:color="6B8F6E" w:sz="1"/>
            </w:tcBorders>
            <w:shd w:fill="D7E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040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June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Fiscal sponsor signed (local first, national fallback). Oregon DOJ registration. MyOCF account by June 18; OCF June 23 only if sponsorship closes in time. Roundhouse intro visit. Decide and document the sponsor’s admin fee in all budgets.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July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Roundhouse Small Grants LOI submitted (launch capacity, ~$12.5K). Ford Family program-officer call — settle the rural-eligibility frame; if green-lit, submit TA inquiry. Founding Supporters campaign built.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Roundhouse Fall Open Call application submitted (flagship two-year program, ~$48K). Press Forward JustFund profile created.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Form 1023 filed. CEC and First Interstate inquiries with the one-page case ($2–8K combined asks).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Public launch + Founding Supporters campaign live (goal $5–10K individual, receipts noting retroactive deductibility). Roundhouse Small Grant decision expected window opens.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November–December 2026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Roundhouse Open Call decision window. Year-end giving push. OCF Spring 2027 application drafted from the Master Case (window opens ~Dec 1, closes mid-January).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Q1 2027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OCF Spring application submitted by mid-January. Determination letter expected window begins — on arrival: Collins application out within 30 days; sponsor wind-down per agreement.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Q2–Q3 2027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OCF decision (~May). Collins decision. Meyer opportunity evaluated against actual 2027 guidelines. Deschutes Cultural Coalition small grant (archive/heritage framing) if cycle aligns. First grant reports filed on time — the renewal calendar is now live.</w:t>
            </w:r>
          </w:p>
        </w:tc>
      </w:tr>
      <w:tr>
        <w:tc>
          <w:tcPr>
            <w:tcW w:type="dxa" w:w="200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A28"/>
                <w:sz w:val="20"/>
                <w:szCs w:val="20"/>
              </w:rPr>
              <w:t xml:space="preserve">Q4 2027 – 2028</w:t>
            </w:r>
          </w:p>
        </w:tc>
        <w:tc>
          <w:tcPr>
            <w:tcW w:type="dxa" w:w="7360"/>
            <w:tcBorders>
              <w:top w:val="single" w:color="C8C2B6" w:sz="1"/>
              <w:left w:val="single" w:color="C8C2B6" w:sz="1"/>
              <w:bottom w:val="single" w:color="C8C2B6" w:sz="1"/>
              <w:right w:val="single" w:color="C8C2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A28"/>
                <w:sz w:val="20"/>
                <w:szCs w:val="20"/>
              </w:rPr>
              <w:t xml:space="preserve">Renewals (Roundhouse year two, OCF after sit-out). Oregon Broadband Office relationship opened. College/makerspace MOUs signed; community-partner role in college-led federal proposals formalized. First Connect rural-access pilot grant assembled (USDA or state, with a cooperative deployment partner). Meta Prineville window evaluated if Crook County routing exists. Press Forward open calls watched; Compass joint concept ready if one fits.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040"/>
          <w:sz w:val="24"/>
          <w:szCs w:val="24"/>
        </w:rPr>
        <w:t xml:space="preserve">Realistic Raise Projections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2026: $15K–$40K — Roundhouse small grant and/or Open Call, hyper-local checks, Founding Supporters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2027: $40K–$90K — OCF + Collins + Ford TA + renewals + individual growth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2028: $75K–$150K — diversified per the mix targets, internships and town #2 grant-funded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>These are planning numbers, not promises — sized so that the budget ladder in the business plan works at the low end of every range.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8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after="0" w:before="360"/>
        <w:jc w:val="center"/>
      </w:pPr>
      <w:r>
        <w:rPr>
          <w:rFonts w:ascii="Arial" w:cs="Arial" w:eastAsia="Arial" w:hAnsi="Arial"/>
          <w:color w:val="9A9080"/>
          <w:sz w:val="18"/>
          <w:szCs w:val="18"/>
        </w:rPr>
        <w:t xml:space="preserve">HIGH DESERT · Funding Strategy &amp; Pipeline v3 ·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9A9080"/>
        <w:sz w:val="16"/>
        <w:szCs w:val="16"/>
      </w:rPr>
      <w:t xml:space="preserve">High Desert · Funding Strategy &amp; Pipeline v3 · June 2026  ·  Page </w:t>
    </w:r>
    <w:r>
      <w:rPr>
        <w:rFonts w:ascii="Arial" w:cs="Arial" w:eastAsia="Arial" w:hAnsi="Arial"/>
        <w:color w:val="9A9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540"/>
      <w:outlineLvl w:val="0"/>
    </w:pPr>
    <w:rPr>
      <w:rFonts w:ascii="Arial" w:cs="Arial" w:eastAsia="Arial" w:hAnsi="Arial"/>
      <w:b/>
      <w:bCs/>
      <w:color w:val="3D5040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3D504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0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2026-06-11T15:46:23.995Z</dcterms:created>
  <dcterms:modified xsi:type="dcterms:W3CDTF">2026-06-11T15:46:23.995Z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