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40"/>
      </w:pPr>
      <w:r>
        <w:rPr>
          <w:rFonts w:ascii="Arial" w:cs="Arial" w:eastAsia="Arial" w:hAnsi="Arial"/>
          <w:b/>
          <w:bCs/>
          <w:color w:val="3D5040"/>
          <w:sz w:val="64"/>
          <w:szCs w:val="64"/>
        </w:rPr>
        <w:t xml:space="preserve">HIGH DESERT</w:t>
      </w:r>
    </w:p>
    <w:p>
      <w:pPr>
        <w:spacing w:after="40" w:before="0"/>
      </w:pPr>
      <w:r>
        <w:rPr>
          <w:rFonts w:ascii="Arial" w:cs="Arial" w:eastAsia="Arial" w:hAnsi="Arial"/>
          <w:i/>
          <w:iCs/>
          <w:color w:val="6B8F6E"/>
          <w:sz w:val="28"/>
          <w:szCs w:val="28"/>
        </w:rPr>
        <w:t xml:space="preserve">Master Case for Support — v1.2</w:t>
      </w:r>
    </w:p>
    <w:p>
      <w:pPr>
        <w:pBdr>
          <w:bottom w:val="single" w:color="B5541F" w:sz="16" w:space="2"/>
        </w:pBdr>
        <w:spacing w:after="240" w:before="0"/>
      </w:pPr>
      <w:r>
        <w:rPr>
          <w:rFonts w:ascii="Arial" w:cs="Arial" w:eastAsia="Arial" w:hAnsi="Arial"/>
          <w:b w:val="false"/>
          <w:bCs w:val="false"/>
          <w:i w:val="false"/>
          <w:iCs w:val="false"/>
          <w:color w:val="2A2A28"/>
          <w:sz w:val="22"/>
          <w:szCs w:val="22"/>
        </w:rPr>
        <w:t xml:space="preserve"/>
      </w:r>
    </w:p>
    <w:p>
      <w:pPr>
        <w:spacing w:after="40" w:before="140"/>
      </w:pPr>
      <w:r>
        <w:rPr>
          <w:rFonts w:ascii="Arial" w:cs="Arial" w:eastAsia="Arial" w:hAnsi="Arial"/>
          <w:color w:val="55504A"/>
          <w:sz w:val="20"/>
          <w:szCs w:val="20"/>
        </w:rPr>
        <w:t xml:space="preserve">June 2026 · The reusable grant narrative — every application draws from this document</w:t>
      </w:r>
    </w:p>
    <w:p>
      <w:pPr>
        <w:spacing w:after="140" w:before="0"/>
        <w:jc w:val="left"/>
      </w:pPr>
      <w:r>
        <w:rPr>
          <w:rFonts w:ascii="Arial" w:cs="Arial" w:eastAsia="Arial" w:hAnsi="Arial"/>
          <w:b w:val="false"/>
          <w:bCs w:val="false"/>
          <w:i w:val="false"/>
          <w:iCs w:val="false"/>
          <w:color w:val="2A2A28"/>
          <w:sz w:val="22"/>
          <w:szCs w:val="22"/>
        </w:rPr>
        <w:t xml:space="preserve"/>
      </w:r>
    </w:p>
    <w:p>
      <w:pPr>
        <w:spacing w:after="110" w:before="0"/>
        <w:jc w:val="left"/>
      </w:pPr>
      <w:r>
        <w:rPr>
          <w:rFonts w:ascii="Arial" w:cs="Arial" w:eastAsia="Arial" w:hAnsi="Arial"/>
          <w:b w:val="false"/>
          <w:bCs w:val="false"/>
          <w:i w:val="false"/>
          <w:iCs w:val="false"/>
          <w:color w:val="2A2A28"/>
          <w:sz w:val="22"/>
          <w:szCs w:val="22"/>
        </w:rPr>
        <w:t xml:space="preserve">This is the source document for all funding requests. Sections are written to be lifted whole into grant portals, letters, and conversations — consistent language, consistent numbers, consistent story. Bracketed fields are completed per application.</w:t>
      </w:r>
    </w:p>
    <w:p>
      <w:pPr>
        <w:pStyle w:val="Heading1"/>
        <w:pBdr>
          <w:bottom w:val="single" w:color="3D5040" w:sz="6" w:space="5"/>
        </w:pBdr>
        <w:spacing w:after="170" w:before="540"/>
      </w:pPr>
      <w:r>
        <w:rPr>
          <w:rFonts w:ascii="Arial" w:cs="Arial" w:eastAsia="Arial" w:hAnsi="Arial"/>
          <w:b/>
          <w:bCs/>
          <w:color w:val="3D5040"/>
          <w:sz w:val="31"/>
          <w:szCs w:val="31"/>
        </w:rPr>
        <w:t xml:space="preserve">01 — The Case in One Paragraph</w:t>
      </w:r>
    </w:p>
    <w:p>
      <w:pPr>
        <w:pBdr>
          <w:left w:val="single" w:color="3D5040" w:sz="24" w:space="10"/>
        </w:pBdr>
        <w:spacing w:after="80" w:before="80"/>
      </w:pPr>
      <w:r>
        <w:rPr>
          <w:rFonts w:ascii="Arial" w:cs="Arial" w:eastAsia="Arial" w:hAnsi="Arial"/>
          <w:b/>
          <w:bCs/>
          <w:i/>
          <w:iCs/>
          <w:color w:val="2A2A28"/>
          <w:sz w:val="22"/>
          <w:szCs w:val="22"/>
        </w:rPr>
        <w:t xml:space="preserve">High Desert is community-owned digital infrastructure for the towns of Central Oregon — a verified, ad-free, member-governed platform where neighbors share events, needs, and decisions. It launches in Redmond in late 2026, built and governed so it can never be sold, never run ads, and never answer to anyone but the people it serves. Dues of $2 a month fund its core operations forever; grant support funds what dues alone cannot — bilingual access, accessibility, youth workforce development, and expansion to the rural towns that need it most.</w:t>
      </w:r>
    </w:p>
    <w:p>
      <w:pPr>
        <w:pStyle w:val="Heading1"/>
        <w:pBdr>
          <w:bottom w:val="single" w:color="3D5040" w:sz="6" w:space="5"/>
        </w:pBdr>
        <w:spacing w:after="170" w:before="540"/>
      </w:pPr>
      <w:r>
        <w:rPr>
          <w:rFonts w:ascii="Arial" w:cs="Arial" w:eastAsia="Arial" w:hAnsi="Arial"/>
          <w:b/>
          <w:bCs/>
          <w:color w:val="3D5040"/>
          <w:sz w:val="31"/>
          <w:szCs w:val="31"/>
        </w:rPr>
        <w:t xml:space="preserve">02 — The Need</w:t>
      </w:r>
    </w:p>
    <w:p>
      <w:pPr>
        <w:spacing w:after="110" w:before="0"/>
        <w:jc w:val="left"/>
      </w:pPr>
      <w:r>
        <w:rPr>
          <w:rFonts w:ascii="Arial" w:cs="Arial" w:eastAsia="Arial" w:hAnsi="Arial"/>
          <w:b w:val="false"/>
          <w:bCs w:val="false"/>
          <w:i w:val="false"/>
          <w:iCs w:val="false"/>
          <w:color w:val="2A2A28"/>
          <w:sz w:val="22"/>
          <w:szCs w:val="22"/>
        </w:rPr>
        <w:t xml:space="preserve">Central Oregon’s communities have no shared information infrastructure they own or trust. The regional newspaper has retrenched. National platforms fill the vacuum badly: feeds engineered for outrage, no connection to place, no accountability to residents, and business models that treat communities as inventory. Word of mouth remains the most trusted local channel — and it cannot scale.</w:t>
      </w:r>
    </w:p>
    <w:p>
      <w:pPr>
        <w:spacing w:after="110" w:before="0"/>
        <w:jc w:val="left"/>
      </w:pPr>
      <w:r>
        <w:rPr>
          <w:rFonts w:ascii="Arial" w:cs="Arial" w:eastAsia="Arial" w:hAnsi="Arial"/>
          <w:b w:val="false"/>
          <w:bCs w:val="false"/>
          <w:i w:val="false"/>
          <w:iCs w:val="false"/>
          <w:color w:val="2A2A28"/>
          <w:sz w:val="22"/>
          <w:szCs w:val="22"/>
        </w:rPr>
        <w:t xml:space="preserve">The cost lands hardest outside Bend. Redmond, Sisters, La Pine, Madras, Prineville, Terrebonne, and Culver — communities of trades, agriculture, and working families — have the least local coverage and the least digital infrastructure built for them. Roughly one in three Madras residents speaks Spanish at home, and almost nothing in the region’s civic information layer does. When a wildfire approaches, when a school board decides, when a neighbor needs firewood or has it to give, there is no trusted, verified place where that information moves.</w:t>
      </w:r>
    </w:p>
    <w:p>
      <w:pPr>
        <w:spacing w:after="110" w:before="0"/>
        <w:jc w:val="left"/>
      </w:pPr>
      <w:r>
        <w:rPr>
          <w:rFonts w:ascii="Arial" w:cs="Arial" w:eastAsia="Arial" w:hAnsi="Arial"/>
          <w:b w:val="false"/>
          <w:bCs w:val="false"/>
          <w:i w:val="false"/>
          <w:iCs w:val="false"/>
          <w:color w:val="2A2A28"/>
          <w:sz w:val="22"/>
          <w:szCs w:val="22"/>
        </w:rPr>
        <w:t xml:space="preserve">This is not a content problem; it is an ownership problem. Every previous platform serving the region answers to advertisers or distant shareholders. The infrastructure failed because of who owned it — so the fix has to start there.</w:t>
      </w:r>
    </w:p>
    <w:p>
      <w:pPr>
        <w:pStyle w:val="Heading1"/>
        <w:pBdr>
          <w:bottom w:val="single" w:color="3D5040" w:sz="6" w:space="5"/>
        </w:pBdr>
        <w:spacing w:after="170" w:before="540"/>
      </w:pPr>
      <w:r>
        <w:rPr>
          <w:rFonts w:ascii="Arial" w:cs="Arial" w:eastAsia="Arial" w:hAnsi="Arial"/>
          <w:b/>
          <w:bCs/>
          <w:color w:val="3D5040"/>
          <w:sz w:val="31"/>
          <w:szCs w:val="31"/>
        </w:rPr>
        <w:t xml:space="preserve">03 — The Solution</w:t>
      </w:r>
    </w:p>
    <w:p>
      <w:pPr>
        <w:spacing w:after="110" w:before="0"/>
        <w:jc w:val="left"/>
      </w:pPr>
      <w:r>
        <w:rPr>
          <w:rFonts w:ascii="Arial" w:cs="Arial" w:eastAsia="Arial" w:hAnsi="Arial"/>
          <w:b w:val="false"/>
          <w:bCs w:val="false"/>
          <w:i w:val="false"/>
          <w:iCs w:val="false"/>
          <w:color w:val="2A2A28"/>
          <w:sz w:val="22"/>
          <w:szCs w:val="22"/>
        </w:rPr>
        <w:t xml:space="preserve">High Desert is a member-governed Oregon nonprofit operating a community platform that residents verify into, pay $2 a month for, and govern by vote. The structure is the innovation:</w:t>
      </w:r>
    </w:p>
    <w:p>
      <w:pPr>
        <w:pStyle w:val="ListParagraph"/>
        <w:numPr>
          <w:ilvl w:val="0"/>
          <w:numId w:val="2"/>
        </w:numPr>
        <w:spacing w:after="70" w:before="0"/>
      </w:pPr>
      <w:r>
        <w:rPr>
          <w:rFonts w:ascii="Arial" w:cs="Arial" w:eastAsia="Arial" w:hAnsi="Arial"/>
          <w:b/>
          <w:bCs/>
          <w:i w:val="false"/>
          <w:iCs w:val="false"/>
          <w:color w:val="2A2A28"/>
          <w:sz w:val="22"/>
          <w:szCs w:val="22"/>
        </w:rPr>
        <w:t xml:space="preserve">Owned by no one, governed by members</w:t>
      </w:r>
      <w:r>
        <w:rPr>
          <w:rFonts w:ascii="Arial" w:cs="Arial" w:eastAsia="Arial" w:hAnsi="Arial"/>
          <w:b w:val="false"/>
          <w:bCs w:val="false"/>
          <w:i w:val="false"/>
          <w:iCs w:val="false"/>
          <w:color w:val="2A2A28"/>
          <w:sz w:val="22"/>
          <w:szCs w:val="22"/>
        </w:rPr>
        <w:t xml:space="preserve"> — an Oregon public benefit nonprofit with statutory voting members; no shares, no exit, a dissolution clause routing assets to aligned local charities. The commitments — no advertising ever, member-owned data, community control — are written into the articles of incorporation</w:t>
      </w:r>
    </w:p>
    <w:p>
      <w:pPr>
        <w:pStyle w:val="ListParagraph"/>
        <w:numPr>
          <w:ilvl w:val="0"/>
          <w:numId w:val="2"/>
        </w:numPr>
        <w:spacing w:after="70" w:before="0"/>
      </w:pPr>
      <w:r>
        <w:rPr>
          <w:rFonts w:ascii="Arial" w:cs="Arial" w:eastAsia="Arial" w:hAnsi="Arial"/>
          <w:b/>
          <w:bCs/>
          <w:i w:val="false"/>
          <w:iCs w:val="false"/>
          <w:color w:val="2A2A28"/>
          <w:sz w:val="22"/>
          <w:szCs w:val="22"/>
        </w:rPr>
        <w:t xml:space="preserve">Verified and local</w:t>
      </w:r>
      <w:r>
        <w:rPr>
          <w:rFonts w:ascii="Arial" w:cs="Arial" w:eastAsia="Arial" w:hAnsi="Arial"/>
          <w:b w:val="false"/>
          <w:bCs w:val="false"/>
          <w:i w:val="false"/>
          <w:iCs w:val="false"/>
          <w:color w:val="2A2A28"/>
          <w:sz w:val="22"/>
          <w:szCs w:val="22"/>
        </w:rPr>
        <w:t xml:space="preserve"> — membership requires proof of residency through multiple pathways with human review; the platform deletes verification documents the moment a decision is made</w:t>
      </w:r>
    </w:p>
    <w:p>
      <w:pPr>
        <w:pStyle w:val="ListParagraph"/>
        <w:numPr>
          <w:ilvl w:val="0"/>
          <w:numId w:val="2"/>
        </w:numPr>
        <w:spacing w:after="70" w:before="0"/>
      </w:pPr>
      <w:r>
        <w:rPr>
          <w:rFonts w:ascii="Arial" w:cs="Arial" w:eastAsia="Arial" w:hAnsi="Arial"/>
          <w:b/>
          <w:bCs/>
          <w:i w:val="false"/>
          <w:iCs w:val="false"/>
          <w:color w:val="2A2A28"/>
          <w:sz w:val="22"/>
          <w:szCs w:val="22"/>
        </w:rPr>
        <w:t xml:space="preserve">Calm by design</w:t>
      </w:r>
      <w:r>
        <w:rPr>
          <w:rFonts w:ascii="Arial" w:cs="Arial" w:eastAsia="Arial" w:hAnsi="Arial"/>
          <w:b w:val="false"/>
          <w:bCs w:val="false"/>
          <w:i w:val="false"/>
          <w:iCs w:val="false"/>
          <w:color w:val="2A2A28"/>
          <w:sz w:val="22"/>
          <w:szCs w:val="22"/>
        </w:rPr>
        <w:t xml:space="preserve"> — chronological feeds, no algorithmic ranking, no engagement optimization — a platform built for information, not addiction</w:t>
      </w:r>
    </w:p>
    <w:p>
      <w:pPr>
        <w:pStyle w:val="ListParagraph"/>
        <w:numPr>
          <w:ilvl w:val="0"/>
          <w:numId w:val="2"/>
        </w:numPr>
        <w:spacing w:after="70" w:before="0"/>
      </w:pPr>
      <w:r>
        <w:rPr>
          <w:rFonts w:ascii="Arial" w:cs="Arial" w:eastAsia="Arial" w:hAnsi="Arial"/>
          <w:b/>
          <w:bCs/>
          <w:i w:val="false"/>
          <w:iCs w:val="false"/>
          <w:color w:val="2A2A28"/>
          <w:sz w:val="22"/>
          <w:szCs w:val="22"/>
        </w:rPr>
        <w:t xml:space="preserve">Democratic in fact</w:t>
      </w:r>
      <w:r>
        <w:rPr>
          <w:rFonts w:ascii="Arial" w:cs="Arial" w:eastAsia="Arial" w:hAnsi="Arial"/>
          <w:b w:val="false"/>
          <w:bCs w:val="false"/>
          <w:i w:val="false"/>
          <w:iCs w:val="false"/>
          <w:color w:val="2A2A28"/>
          <w:sz w:val="22"/>
          <w:szCs w:val="22"/>
        </w:rPr>
        <w:t xml:space="preserve"> — secret-ballot member votes with tenure weighting and quorum rules, enforced in the database itself; quarterly public transparency reports; moderation with due process and appeal</w:t>
      </w:r>
    </w:p>
    <w:p>
      <w:pPr>
        <w:pStyle w:val="ListParagraph"/>
        <w:numPr>
          <w:ilvl w:val="0"/>
          <w:numId w:val="2"/>
        </w:numPr>
        <w:spacing w:after="70" w:before="0"/>
      </w:pPr>
      <w:r>
        <w:rPr>
          <w:rFonts w:ascii="Arial" w:cs="Arial" w:eastAsia="Arial" w:hAnsi="Arial"/>
          <w:b/>
          <w:bCs/>
          <w:i w:val="false"/>
          <w:iCs w:val="false"/>
          <w:color w:val="2A2A28"/>
          <w:sz w:val="22"/>
          <w:szCs w:val="22"/>
        </w:rPr>
        <w:t xml:space="preserve">Already built</w:t>
      </w:r>
      <w:r>
        <w:rPr>
          <w:rFonts w:ascii="Arial" w:cs="Arial" w:eastAsia="Arial" w:hAnsi="Arial"/>
          <w:b w:val="false"/>
          <w:bCs w:val="false"/>
          <w:i w:val="false"/>
          <w:iCs w:val="false"/>
          <w:color w:val="2A2A28"/>
          <w:sz w:val="22"/>
          <w:szCs w:val="22"/>
        </w:rPr>
        <w:t xml:space="preserve"> — the platform is complete and security-audited as of June 2026 — verification, neighborhood-scoped events, governance voting, moderation, Spanish localization, accessibility, and mobile — with 35 Redmond neighborhoods mapped. Grant support does not fund a hope; it finishes and extends a working system</w:t>
      </w:r>
    </w:p>
    <w:p>
      <w:pPr>
        <w:spacing w:after="80" w:before="0"/>
        <w:jc w:val="left"/>
      </w:pPr>
      <w:r>
        <w:rPr>
          <w:rFonts w:ascii="Arial" w:cs="Arial" w:eastAsia="Arial" w:hAnsi="Arial"/>
          <w:b w:val="false"/>
          <w:bCs w:val="false"/>
          <w:i w:val="false"/>
          <w:iCs w:val="false"/>
          <w:color w:val="2A2A28"/>
          <w:sz w:val="22"/>
          <w:szCs w:val="22"/>
        </w:rPr>
        <w:t xml:space="preserve"/>
      </w:r>
    </w:p>
    <w:p>
      <w:pPr>
        <w:spacing w:after="110" w:before="0"/>
        <w:jc w:val="left"/>
      </w:pPr>
      <w:r>
        <w:rPr>
          <w:rFonts w:ascii="Arial" w:cs="Arial" w:eastAsia="Arial" w:hAnsi="Arial"/>
          <w:b w:val="false"/>
          <w:bCs w:val="false"/>
          <w:i w:val="false"/>
          <w:iCs w:val="false"/>
          <w:color w:val="2A2A28"/>
          <w:sz w:val="22"/>
          <w:szCs w:val="22"/>
        </w:rPr>
        <w:t xml:space="preserve">The design draws on established scholarship in commons governance, systems thinking, and political economy — the platform’s governance is audited against the eight design principles that distinguish community resources that endure from those that collapse, and its structure is built against the documented decay pattern of advertising-funded platforms. A full sources statement is available on request.</w:t>
      </w:r>
    </w:p>
    <w:p>
      <w:pPr>
        <w:pStyle w:val="Heading1"/>
        <w:pBdr>
          <w:bottom w:val="single" w:color="3D5040" w:sz="6" w:space="5"/>
        </w:pBdr>
        <w:spacing w:after="170" w:before="540"/>
      </w:pPr>
      <w:r>
        <w:rPr>
          <w:rFonts w:ascii="Arial" w:cs="Arial" w:eastAsia="Arial" w:hAnsi="Arial"/>
          <w:b/>
          <w:bCs/>
          <w:color w:val="3D5040"/>
          <w:sz w:val="31"/>
          <w:szCs w:val="31"/>
        </w:rPr>
        <w:t xml:space="preserve">04 — Who We Serve</w:t>
      </w:r>
    </w:p>
    <w:p>
      <w:pPr>
        <w:pStyle w:val="ListParagraph"/>
        <w:numPr>
          <w:ilvl w:val="0"/>
          <w:numId w:val="2"/>
        </w:numPr>
        <w:spacing w:after="70" w:before="0"/>
      </w:pPr>
      <w:r>
        <w:rPr>
          <w:rFonts w:ascii="Arial" w:cs="Arial" w:eastAsia="Arial" w:hAnsi="Arial"/>
          <w:b/>
          <w:bCs/>
          <w:i w:val="false"/>
          <w:iCs w:val="false"/>
          <w:color w:val="2A2A28"/>
          <w:sz w:val="22"/>
          <w:szCs w:val="22"/>
        </w:rPr>
        <w:t xml:space="preserve">Now</w:t>
      </w:r>
      <w:r>
        <w:rPr>
          <w:rFonts w:ascii="Arial" w:cs="Arial" w:eastAsia="Arial" w:hAnsi="Arial"/>
          <w:b w:val="false"/>
          <w:bCs w:val="false"/>
          <w:i w:val="false"/>
          <w:iCs w:val="false"/>
          <w:color w:val="2A2A28"/>
          <w:sz w:val="22"/>
          <w:szCs w:val="22"/>
        </w:rPr>
        <w:t xml:space="preserve"> — Redmond, Oregon (~36,000 residents, 35 mapped neighborhoods) — launch late 2026, with Redmond Compass as community partner and two of three founding board members rooted in Redmond</w:t>
      </w:r>
    </w:p>
    <w:p>
      <w:pPr>
        <w:pStyle w:val="ListParagraph"/>
        <w:numPr>
          <w:ilvl w:val="0"/>
          <w:numId w:val="2"/>
        </w:numPr>
        <w:spacing w:after="70" w:before="0"/>
      </w:pPr>
      <w:r>
        <w:rPr>
          <w:rFonts w:ascii="Arial" w:cs="Arial" w:eastAsia="Arial" w:hAnsi="Arial"/>
          <w:b/>
          <w:bCs/>
          <w:i w:val="false"/>
          <w:iCs w:val="false"/>
          <w:color w:val="2A2A28"/>
          <w:sz w:val="22"/>
          <w:szCs w:val="22"/>
        </w:rPr>
        <w:t xml:space="preserve">Next</w:t>
      </w:r>
      <w:r>
        <w:rPr>
          <w:rFonts w:ascii="Arial" w:cs="Arial" w:eastAsia="Arial" w:hAnsi="Arial"/>
          <w:b w:val="false"/>
          <w:bCs w:val="false"/>
          <w:i w:val="false"/>
          <w:iCs w:val="false"/>
          <w:color w:val="2A2A28"/>
          <w:sz w:val="22"/>
          <w:szCs w:val="22"/>
        </w:rPr>
        <w:t xml:space="preserve"> — the rural towns of Central Oregon — Sisters, La Pine, Madras, Prineville, Terrebonne, Culver — joining by petition and community vote, with full Spanish-language access</w:t>
      </w:r>
    </w:p>
    <w:p>
      <w:pPr>
        <w:pStyle w:val="ListParagraph"/>
        <w:numPr>
          <w:ilvl w:val="0"/>
          <w:numId w:val="2"/>
        </w:numPr>
        <w:spacing w:after="70" w:before="0"/>
      </w:pPr>
      <w:r>
        <w:rPr>
          <w:rFonts w:ascii="Arial" w:cs="Arial" w:eastAsia="Arial" w:hAnsi="Arial"/>
          <w:b/>
          <w:bCs/>
          <w:i w:val="false"/>
          <w:iCs w:val="false"/>
          <w:color w:val="2A2A28"/>
          <w:sz w:val="22"/>
          <w:szCs w:val="22"/>
        </w:rPr>
        <w:t xml:space="preserve">Always</w:t>
      </w:r>
      <w:r>
        <w:rPr>
          <w:rFonts w:ascii="Arial" w:cs="Arial" w:eastAsia="Arial" w:hAnsi="Arial"/>
          <w:b w:val="false"/>
          <w:bCs w:val="false"/>
          <w:i w:val="false"/>
          <w:iCs w:val="false"/>
          <w:color w:val="2A2A28"/>
          <w:sz w:val="22"/>
          <w:szCs w:val="22"/>
        </w:rPr>
        <w:t xml:space="preserve"> — capped at twelve communities by charter. High Desert is built to serve a place deeply, not to scale; the cap is a structural promise that growth will never outrun governance</w:t>
      </w:r>
    </w:p>
    <w:p>
      <w:pPr>
        <w:pStyle w:val="ListParagraph"/>
        <w:numPr>
          <w:ilvl w:val="0"/>
          <w:numId w:val="2"/>
        </w:numPr>
        <w:spacing w:after="70" w:before="0"/>
      </w:pPr>
      <w:r>
        <w:rPr>
          <w:rFonts w:ascii="Arial" w:cs="Arial" w:eastAsia="Arial" w:hAnsi="Arial"/>
          <w:b/>
          <w:bCs/>
          <w:i w:val="false"/>
          <w:iCs w:val="false"/>
          <w:color w:val="2A2A28"/>
          <w:sz w:val="22"/>
          <w:szCs w:val="22"/>
        </w:rPr>
        <w:t xml:space="preserve">Beneath the platform</w:t>
      </w:r>
      <w:r>
        <w:rPr>
          <w:rFonts w:ascii="Arial" w:cs="Arial" w:eastAsia="Arial" w:hAnsi="Arial"/>
          <w:b w:val="false"/>
          <w:bCs w:val="false"/>
          <w:i w:val="false"/>
          <w:iCs w:val="false"/>
          <w:color w:val="2A2A28"/>
          <w:sz w:val="22"/>
          <w:szCs w:val="22"/>
        </w:rPr>
        <w:t xml:space="preserve"> — High Desert Connect extends the mission to access itself: rural connectivity pilots with community and cooperative partners, makerspace-built public access devices, and — on the long horizon, at the Tribes’ invitation — a tribal digital-sovereignty program built on complete tribal ownership of platform, infrastructure, data, and governance</w:t>
      </w:r>
    </w:p>
    <w:p>
      <w:pPr>
        <w:pStyle w:val="Heading1"/>
        <w:pBdr>
          <w:bottom w:val="single" w:color="3D5040" w:sz="6" w:space="5"/>
        </w:pBdr>
        <w:spacing w:after="170" w:before="540"/>
      </w:pPr>
      <w:r>
        <w:rPr>
          <w:rFonts w:ascii="Arial" w:cs="Arial" w:eastAsia="Arial" w:hAnsi="Arial"/>
          <w:b/>
          <w:bCs/>
          <w:color w:val="3D5040"/>
          <w:sz w:val="31"/>
          <w:szCs w:val="31"/>
        </w:rPr>
        <w:t xml:space="preserve">05 — What Funding Builds</w:t>
      </w:r>
    </w:p>
    <w:p>
      <w:pPr>
        <w:spacing w:after="110" w:before="0"/>
        <w:jc w:val="left"/>
      </w:pPr>
      <w:r>
        <w:rPr>
          <w:rFonts w:ascii="Arial" w:cs="Arial" w:eastAsia="Arial" w:hAnsi="Arial"/>
          <w:b w:val="false"/>
          <w:bCs w:val="false"/>
          <w:i w:val="false"/>
          <w:iCs w:val="false"/>
          <w:color w:val="2A2A28"/>
          <w:sz w:val="22"/>
          <w:szCs w:val="22"/>
        </w:rPr>
        <w:t xml:space="preserve">Member dues fund core operations permanently — hosting, administration, and basic upkeep are never grant-dependent. Grants fund the layers that make the platform genuinely public infrastructure:</w:t>
      </w:r>
    </w:p>
    <w:p>
      <w:pPr>
        <w:spacing w:after="60" w:before="0"/>
        <w:jc w:val="left"/>
      </w:pPr>
      <w:r>
        <w:rPr>
          <w:rFonts w:ascii="Arial" w:cs="Arial" w:eastAsia="Arial" w:hAnsi="Arial"/>
          <w:b w:val="false"/>
          <w:bCs w:val="false"/>
          <w:i w:val="false"/>
          <w:iCs w:val="false"/>
          <w:color w:val="2A2A28"/>
          <w:sz w:val="22"/>
          <w:szCs w:val="22"/>
        </w:rPr>
        <w:t xml:space="preserve"/>
      </w:r>
    </w:p>
    <w:p>
      <w:pPr>
        <w:pStyle w:val="Heading2"/>
        <w:spacing w:after="120" w:before="360"/>
      </w:pPr>
      <w:r>
        <w:rPr>
          <w:rFonts w:ascii="Arial" w:cs="Arial" w:eastAsia="Arial" w:hAnsi="Arial"/>
          <w:b/>
          <w:bCs/>
          <w:color w:val="3D5040"/>
          <w:sz w:val="24"/>
          <w:szCs w:val="24"/>
        </w:rPr>
        <w:t xml:space="preserve">Package A — Launch Capacity ($12,500, one year)</w:t>
      </w:r>
    </w:p>
    <w:p>
      <w:pPr>
        <w:spacing w:after="110" w:before="0"/>
        <w:jc w:val="left"/>
      </w:pPr>
      <w:r>
        <w:rPr>
          <w:rFonts w:ascii="Arial" w:cs="Arial" w:eastAsia="Arial" w:hAnsi="Arial"/>
          <w:b w:val="false"/>
          <w:bCs w:val="false"/>
          <w:i w:val="false"/>
          <w:iCs w:val="false"/>
          <w:color w:val="2A2A28"/>
          <w:sz w:val="22"/>
          <w:szCs w:val="22"/>
        </w:rPr>
        <w:t xml:space="preserve">Completes the gap between a working platform and a publicly trustworthy one before the late-2026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160"/>
        <w:gridCol w:w="3200"/>
      </w:tblGrid>
      <w:tr>
        <w:tc>
          <w:tcPr>
            <w:tcW w:type="dxa" w:w="6160"/>
            <w:tcBorders>
              <w:top w:val="single" w:color="6B8F6E" w:sz="1"/>
              <w:left w:val="single" w:color="6B8F6E" w:sz="1"/>
              <w:bottom w:val="single" w:color="6B8F6E" w:sz="1"/>
              <w:right w:val="single" w:color="6B8F6E" w:sz="1"/>
            </w:tcBorders>
            <w:shd w:fill="D7E2D7" w:val="clear"/>
            <w:tcMar>
              <w:top w:type="dxa" w:w="80"/>
              <w:left w:type="dxa" w:w="120"/>
              <w:bottom w:type="dxa" w:w="80"/>
              <w:right w:type="dxa" w:w="120"/>
            </w:tcMar>
          </w:tcPr>
          <w:p>
            <w:pPr>
              <w:spacing w:after="100" w:before="0"/>
              <w:jc w:val="left"/>
            </w:pPr>
            <w:r>
              <w:rPr>
                <w:rFonts w:ascii="Arial" w:cs="Arial" w:eastAsia="Arial" w:hAnsi="Arial"/>
                <w:b/>
                <w:bCs/>
                <w:i w:val="false"/>
                <w:iCs w:val="false"/>
                <w:color w:val="3D5040"/>
                <w:sz w:val="20"/>
                <w:szCs w:val="20"/>
              </w:rPr>
              <w:t xml:space="preserve">Line Item</w:t>
            </w:r>
          </w:p>
        </w:tc>
        <w:tc>
          <w:tcPr>
            <w:tcW w:type="dxa" w:w="3200"/>
            <w:tcBorders>
              <w:top w:val="single" w:color="6B8F6E" w:sz="1"/>
              <w:left w:val="single" w:color="6B8F6E" w:sz="1"/>
              <w:bottom w:val="single" w:color="6B8F6E" w:sz="1"/>
              <w:right w:val="single" w:color="6B8F6E" w:sz="1"/>
            </w:tcBorders>
            <w:shd w:fill="D7E2D7" w:val="clear"/>
            <w:tcMar>
              <w:top w:type="dxa" w:w="80"/>
              <w:left w:type="dxa" w:w="120"/>
              <w:bottom w:type="dxa" w:w="80"/>
              <w:right w:type="dxa" w:w="120"/>
            </w:tcMar>
          </w:tcPr>
          <w:p>
            <w:pPr>
              <w:spacing w:after="100" w:before="0"/>
              <w:jc w:val="left"/>
            </w:pPr>
            <w:r>
              <w:rPr>
                <w:rFonts w:ascii="Arial" w:cs="Arial" w:eastAsia="Arial" w:hAnsi="Arial"/>
                <w:b/>
                <w:bCs/>
                <w:i w:val="false"/>
                <w:iCs w:val="false"/>
                <w:color w:val="3D5040"/>
                <w:sz w:val="20"/>
                <w:szCs w:val="20"/>
              </w:rPr>
              <w:t xml:space="preserve">Amount</w:t>
            </w:r>
          </w:p>
        </w:tc>
      </w:tr>
      <w:tr>
        <w:tc>
          <w:tcPr>
            <w:tcW w:type="dxa" w:w="6160"/>
            <w:tcBorders>
              <w:top w:val="single" w:color="C8C2B6" w:sz="1"/>
              <w:left w:val="single" w:color="C8C2B6" w:sz="1"/>
              <w:bottom w:val="single" w:color="C8C2B6" w:sz="1"/>
              <w:right w:val="single" w:color="C8C2B6" w:sz="1"/>
            </w:tcBorders>
            <w:shd w:fill="FFFFFF" w:val="clear"/>
            <w:tcMar>
              <w:top w:type="dxa" w:w="80"/>
              <w:left w:type="dxa" w:w="120"/>
              <w:bottom w:type="dxa" w:w="80"/>
              <w:right w:type="dxa" w:w="120"/>
            </w:tcMar>
          </w:tcPr>
          <w:p>
            <w:pPr>
              <w:spacing w:after="100" w:before="0"/>
              <w:jc w:val="left"/>
            </w:pPr>
            <w:r>
              <w:rPr>
                <w:rFonts w:ascii="Arial" w:cs="Arial" w:eastAsia="Arial" w:hAnsi="Arial"/>
                <w:b w:val="false"/>
                <w:bCs w:val="false"/>
                <w:i w:val="false"/>
                <w:iCs w:val="false"/>
                <w:color w:val="2A2A28"/>
                <w:sz w:val="20"/>
                <w:szCs w:val="20"/>
              </w:rPr>
              <w:t xml:space="preserve">Spanish localization — professional native-speaker review of the full platform dictionary</w:t>
            </w:r>
          </w:p>
        </w:tc>
        <w:tc>
          <w:tcPr>
            <w:tcW w:type="dxa" w:w="3200"/>
            <w:tcBorders>
              <w:top w:val="single" w:color="C8C2B6" w:sz="1"/>
              <w:left w:val="single" w:color="C8C2B6" w:sz="1"/>
              <w:bottom w:val="single" w:color="C8C2B6" w:sz="1"/>
              <w:right w:val="single" w:color="C8C2B6" w:sz="1"/>
            </w:tcBorders>
            <w:shd w:fill="FFFFFF" w:val="clear"/>
            <w:tcMar>
              <w:top w:type="dxa" w:w="80"/>
              <w:left w:type="dxa" w:w="120"/>
              <w:bottom w:type="dxa" w:w="80"/>
              <w:right w:type="dxa" w:w="120"/>
            </w:tcMar>
          </w:tcPr>
          <w:p>
            <w:pPr>
              <w:spacing w:after="100" w:before="0"/>
              <w:jc w:val="left"/>
            </w:pPr>
            <w:r>
              <w:rPr>
                <w:rFonts w:ascii="Arial" w:cs="Arial" w:eastAsia="Arial" w:hAnsi="Arial"/>
                <w:b w:val="false"/>
                <w:bCs w:val="false"/>
                <w:i w:val="false"/>
                <w:iCs w:val="false"/>
                <w:color w:val="2A2A28"/>
                <w:sz w:val="20"/>
                <w:szCs w:val="20"/>
              </w:rPr>
              <w:t xml:space="preserve">$2,000</w:t>
            </w:r>
          </w:p>
        </w:tc>
      </w:tr>
      <w:tr>
        <w:tc>
          <w:tcPr>
            <w:tcW w:type="dxa" w:w="6160"/>
            <w:tcBorders>
              <w:top w:val="single" w:color="C8C2B6" w:sz="1"/>
              <w:left w:val="single" w:color="C8C2B6" w:sz="1"/>
              <w:bottom w:val="single" w:color="C8C2B6" w:sz="1"/>
              <w:right w:val="single" w:color="C8C2B6" w:sz="1"/>
            </w:tcBorders>
            <w:shd w:fill="F2EFE9" w:val="clear"/>
            <w:tcMar>
              <w:top w:type="dxa" w:w="80"/>
              <w:left w:type="dxa" w:w="120"/>
              <w:bottom w:type="dxa" w:w="80"/>
              <w:right w:type="dxa" w:w="120"/>
            </w:tcMar>
          </w:tcPr>
          <w:p>
            <w:pPr>
              <w:spacing w:after="100" w:before="0"/>
              <w:jc w:val="left"/>
            </w:pPr>
            <w:r>
              <w:rPr>
                <w:rFonts w:ascii="Arial" w:cs="Arial" w:eastAsia="Arial" w:hAnsi="Arial"/>
                <w:b w:val="false"/>
                <w:bCs w:val="false"/>
                <w:i w:val="false"/>
                <w:iCs w:val="false"/>
                <w:color w:val="2A2A28"/>
                <w:sz w:val="20"/>
                <w:szCs w:val="20"/>
              </w:rPr>
              <w:t xml:space="preserve">Accessibility &amp; contrast audit across the final visual design</w:t>
            </w:r>
          </w:p>
        </w:tc>
        <w:tc>
          <w:tcPr>
            <w:tcW w:type="dxa" w:w="3200"/>
            <w:tcBorders>
              <w:top w:val="single" w:color="C8C2B6" w:sz="1"/>
              <w:left w:val="single" w:color="C8C2B6" w:sz="1"/>
              <w:bottom w:val="single" w:color="C8C2B6" w:sz="1"/>
              <w:right w:val="single" w:color="C8C2B6" w:sz="1"/>
            </w:tcBorders>
            <w:shd w:fill="F2EFE9" w:val="clear"/>
            <w:tcMar>
              <w:top w:type="dxa" w:w="80"/>
              <w:left w:type="dxa" w:w="120"/>
              <w:bottom w:type="dxa" w:w="80"/>
              <w:right w:type="dxa" w:w="120"/>
            </w:tcMar>
          </w:tcPr>
          <w:p>
            <w:pPr>
              <w:spacing w:after="100" w:before="0"/>
              <w:jc w:val="left"/>
            </w:pPr>
            <w:r>
              <w:rPr>
                <w:rFonts w:ascii="Arial" w:cs="Arial" w:eastAsia="Arial" w:hAnsi="Arial"/>
                <w:b w:val="false"/>
                <w:bCs w:val="false"/>
                <w:i w:val="false"/>
                <w:iCs w:val="false"/>
                <w:color w:val="2A2A28"/>
                <w:sz w:val="20"/>
                <w:szCs w:val="20"/>
              </w:rPr>
              <w:t xml:space="preserve">$1,500</w:t>
            </w:r>
          </w:p>
        </w:tc>
      </w:tr>
      <w:tr>
        <w:tc>
          <w:tcPr>
            <w:tcW w:type="dxa" w:w="6160"/>
            <w:tcBorders>
              <w:top w:val="single" w:color="C8C2B6" w:sz="1"/>
              <w:left w:val="single" w:color="C8C2B6" w:sz="1"/>
              <w:bottom w:val="single" w:color="C8C2B6" w:sz="1"/>
              <w:right w:val="single" w:color="C8C2B6" w:sz="1"/>
            </w:tcBorders>
            <w:shd w:fill="FFFFFF" w:val="clear"/>
            <w:tcMar>
              <w:top w:type="dxa" w:w="80"/>
              <w:left w:type="dxa" w:w="120"/>
              <w:bottom w:type="dxa" w:w="80"/>
              <w:right w:type="dxa" w:w="120"/>
            </w:tcMar>
          </w:tcPr>
          <w:p>
            <w:pPr>
              <w:spacing w:after="100" w:before="0"/>
              <w:jc w:val="left"/>
            </w:pPr>
            <w:r>
              <w:rPr>
                <w:rFonts w:ascii="Arial" w:cs="Arial" w:eastAsia="Arial" w:hAnsi="Arial"/>
                <w:b w:val="false"/>
                <w:bCs w:val="false"/>
                <w:i w:val="false"/>
                <w:iCs w:val="false"/>
                <w:color w:val="2A2A28"/>
                <w:sz w:val="20"/>
                <w:szCs w:val="20"/>
              </w:rPr>
              <w:t xml:space="preserve">Volunteer moderator recruitment &amp; training (minimum two, Redmond-calibrated)</w:t>
            </w:r>
          </w:p>
        </w:tc>
        <w:tc>
          <w:tcPr>
            <w:tcW w:type="dxa" w:w="3200"/>
            <w:tcBorders>
              <w:top w:val="single" w:color="C8C2B6" w:sz="1"/>
              <w:left w:val="single" w:color="C8C2B6" w:sz="1"/>
              <w:bottom w:val="single" w:color="C8C2B6" w:sz="1"/>
              <w:right w:val="single" w:color="C8C2B6" w:sz="1"/>
            </w:tcBorders>
            <w:shd w:fill="FFFFFF" w:val="clear"/>
            <w:tcMar>
              <w:top w:type="dxa" w:w="80"/>
              <w:left w:type="dxa" w:w="120"/>
              <w:bottom w:type="dxa" w:w="80"/>
              <w:right w:type="dxa" w:w="120"/>
            </w:tcMar>
          </w:tcPr>
          <w:p>
            <w:pPr>
              <w:spacing w:after="100" w:before="0"/>
              <w:jc w:val="left"/>
            </w:pPr>
            <w:r>
              <w:rPr>
                <w:rFonts w:ascii="Arial" w:cs="Arial" w:eastAsia="Arial" w:hAnsi="Arial"/>
                <w:b w:val="false"/>
                <w:bCs w:val="false"/>
                <w:i w:val="false"/>
                <w:iCs w:val="false"/>
                <w:color w:val="2A2A28"/>
                <w:sz w:val="20"/>
                <w:szCs w:val="20"/>
              </w:rPr>
              <w:t xml:space="preserve">$1,000</w:t>
            </w:r>
          </w:p>
        </w:tc>
      </w:tr>
      <w:tr>
        <w:tc>
          <w:tcPr>
            <w:tcW w:type="dxa" w:w="6160"/>
            <w:tcBorders>
              <w:top w:val="single" w:color="C8C2B6" w:sz="1"/>
              <w:left w:val="single" w:color="C8C2B6" w:sz="1"/>
              <w:bottom w:val="single" w:color="C8C2B6" w:sz="1"/>
              <w:right w:val="single" w:color="C8C2B6" w:sz="1"/>
            </w:tcBorders>
            <w:shd w:fill="F2EFE9" w:val="clear"/>
            <w:tcMar>
              <w:top w:type="dxa" w:w="80"/>
              <w:left w:type="dxa" w:w="120"/>
              <w:bottom w:type="dxa" w:w="80"/>
              <w:right w:type="dxa" w:w="120"/>
            </w:tcMar>
          </w:tcPr>
          <w:p>
            <w:pPr>
              <w:spacing w:after="100" w:before="0"/>
              <w:jc w:val="left"/>
            </w:pPr>
            <w:r>
              <w:rPr>
                <w:rFonts w:ascii="Arial" w:cs="Arial" w:eastAsia="Arial" w:hAnsi="Arial"/>
                <w:b w:val="false"/>
                <w:bCs w:val="false"/>
                <w:i w:val="false"/>
                <w:iCs w:val="false"/>
                <w:color w:val="2A2A28"/>
                <w:sz w:val="20"/>
                <w:szCs w:val="20"/>
              </w:rPr>
              <w:t xml:space="preserve">Legal — plain-language Terms review &amp; nonprofit filings</w:t>
            </w:r>
          </w:p>
        </w:tc>
        <w:tc>
          <w:tcPr>
            <w:tcW w:type="dxa" w:w="3200"/>
            <w:tcBorders>
              <w:top w:val="single" w:color="C8C2B6" w:sz="1"/>
              <w:left w:val="single" w:color="C8C2B6" w:sz="1"/>
              <w:bottom w:val="single" w:color="C8C2B6" w:sz="1"/>
              <w:right w:val="single" w:color="C8C2B6" w:sz="1"/>
            </w:tcBorders>
            <w:shd w:fill="F2EFE9" w:val="clear"/>
            <w:tcMar>
              <w:top w:type="dxa" w:w="80"/>
              <w:left w:type="dxa" w:w="120"/>
              <w:bottom w:type="dxa" w:w="80"/>
              <w:right w:type="dxa" w:w="120"/>
            </w:tcMar>
          </w:tcPr>
          <w:p>
            <w:pPr>
              <w:spacing w:after="100" w:before="0"/>
              <w:jc w:val="left"/>
            </w:pPr>
            <w:r>
              <w:rPr>
                <w:rFonts w:ascii="Arial" w:cs="Arial" w:eastAsia="Arial" w:hAnsi="Arial"/>
                <w:b w:val="false"/>
                <w:bCs w:val="false"/>
                <w:i w:val="false"/>
                <w:iCs w:val="false"/>
                <w:color w:val="2A2A28"/>
                <w:sz w:val="20"/>
                <w:szCs w:val="20"/>
              </w:rPr>
              <w:t xml:space="preserve">$3,000</w:t>
            </w:r>
          </w:p>
        </w:tc>
      </w:tr>
      <w:tr>
        <w:tc>
          <w:tcPr>
            <w:tcW w:type="dxa" w:w="6160"/>
            <w:tcBorders>
              <w:top w:val="single" w:color="C8C2B6" w:sz="1"/>
              <w:left w:val="single" w:color="C8C2B6" w:sz="1"/>
              <w:bottom w:val="single" w:color="C8C2B6" w:sz="1"/>
              <w:right w:val="single" w:color="C8C2B6" w:sz="1"/>
            </w:tcBorders>
            <w:shd w:fill="FFFFFF" w:val="clear"/>
            <w:tcMar>
              <w:top w:type="dxa" w:w="80"/>
              <w:left w:type="dxa" w:w="120"/>
              <w:bottom w:type="dxa" w:w="80"/>
              <w:right w:type="dxa" w:w="120"/>
            </w:tcMar>
          </w:tcPr>
          <w:p>
            <w:pPr>
              <w:spacing w:after="100" w:before="0"/>
              <w:jc w:val="left"/>
            </w:pPr>
            <w:r>
              <w:rPr>
                <w:rFonts w:ascii="Arial" w:cs="Arial" w:eastAsia="Arial" w:hAnsi="Arial"/>
                <w:b w:val="false"/>
                <w:bCs w:val="false"/>
                <w:i w:val="false"/>
                <w:iCs w:val="false"/>
                <w:color w:val="2A2A28"/>
                <w:sz w:val="20"/>
                <w:szCs w:val="20"/>
              </w:rPr>
              <w:t xml:space="preserve">Directors &amp; officers insurance (year one)</w:t>
            </w:r>
          </w:p>
        </w:tc>
        <w:tc>
          <w:tcPr>
            <w:tcW w:type="dxa" w:w="3200"/>
            <w:tcBorders>
              <w:top w:val="single" w:color="C8C2B6" w:sz="1"/>
              <w:left w:val="single" w:color="C8C2B6" w:sz="1"/>
              <w:bottom w:val="single" w:color="C8C2B6" w:sz="1"/>
              <w:right w:val="single" w:color="C8C2B6" w:sz="1"/>
            </w:tcBorders>
            <w:shd w:fill="FFFFFF" w:val="clear"/>
            <w:tcMar>
              <w:top w:type="dxa" w:w="80"/>
              <w:left w:type="dxa" w:w="120"/>
              <w:bottom w:type="dxa" w:w="80"/>
              <w:right w:type="dxa" w:w="120"/>
            </w:tcMar>
          </w:tcPr>
          <w:p>
            <w:pPr>
              <w:spacing w:after="100" w:before="0"/>
              <w:jc w:val="left"/>
            </w:pPr>
            <w:r>
              <w:rPr>
                <w:rFonts w:ascii="Arial" w:cs="Arial" w:eastAsia="Arial" w:hAnsi="Arial"/>
                <w:b w:val="false"/>
                <w:bCs w:val="false"/>
                <w:i w:val="false"/>
                <w:iCs w:val="false"/>
                <w:color w:val="2A2A28"/>
                <w:sz w:val="20"/>
                <w:szCs w:val="20"/>
              </w:rPr>
              <w:t xml:space="preserve">$1,500</w:t>
            </w:r>
          </w:p>
        </w:tc>
      </w:tr>
      <w:tr>
        <w:tc>
          <w:tcPr>
            <w:tcW w:type="dxa" w:w="6160"/>
            <w:tcBorders>
              <w:top w:val="single" w:color="C8C2B6" w:sz="1"/>
              <w:left w:val="single" w:color="C8C2B6" w:sz="1"/>
              <w:bottom w:val="single" w:color="C8C2B6" w:sz="1"/>
              <w:right w:val="single" w:color="C8C2B6" w:sz="1"/>
            </w:tcBorders>
            <w:shd w:fill="F2EFE9" w:val="clear"/>
            <w:tcMar>
              <w:top w:type="dxa" w:w="80"/>
              <w:left w:type="dxa" w:w="120"/>
              <w:bottom w:type="dxa" w:w="80"/>
              <w:right w:type="dxa" w:w="120"/>
            </w:tcMar>
          </w:tcPr>
          <w:p>
            <w:pPr>
              <w:spacing w:after="100" w:before="0"/>
              <w:jc w:val="left"/>
            </w:pPr>
            <w:r>
              <w:rPr>
                <w:rFonts w:ascii="Arial" w:cs="Arial" w:eastAsia="Arial" w:hAnsi="Arial"/>
                <w:b w:val="false"/>
                <w:bCs w:val="false"/>
                <w:i w:val="false"/>
                <w:iCs w:val="false"/>
                <w:color w:val="2A2A28"/>
                <w:sz w:val="20"/>
                <w:szCs w:val="20"/>
              </w:rPr>
              <w:t xml:space="preserve">Hosting &amp; infrastructure (year one)</w:t>
            </w:r>
          </w:p>
        </w:tc>
        <w:tc>
          <w:tcPr>
            <w:tcW w:type="dxa" w:w="3200"/>
            <w:tcBorders>
              <w:top w:val="single" w:color="C8C2B6" w:sz="1"/>
              <w:left w:val="single" w:color="C8C2B6" w:sz="1"/>
              <w:bottom w:val="single" w:color="C8C2B6" w:sz="1"/>
              <w:right w:val="single" w:color="C8C2B6" w:sz="1"/>
            </w:tcBorders>
            <w:shd w:fill="F2EFE9" w:val="clear"/>
            <w:tcMar>
              <w:top w:type="dxa" w:w="80"/>
              <w:left w:type="dxa" w:w="120"/>
              <w:bottom w:type="dxa" w:w="80"/>
              <w:right w:type="dxa" w:w="120"/>
            </w:tcMar>
          </w:tcPr>
          <w:p>
            <w:pPr>
              <w:spacing w:after="100" w:before="0"/>
              <w:jc w:val="left"/>
            </w:pPr>
            <w:r>
              <w:rPr>
                <w:rFonts w:ascii="Arial" w:cs="Arial" w:eastAsia="Arial" w:hAnsi="Arial"/>
                <w:b w:val="false"/>
                <w:bCs w:val="false"/>
                <w:i w:val="false"/>
                <w:iCs w:val="false"/>
                <w:color w:val="2A2A28"/>
                <w:sz w:val="20"/>
                <w:szCs w:val="20"/>
              </w:rPr>
              <w:t xml:space="preserve">$1,500</w:t>
            </w:r>
          </w:p>
        </w:tc>
      </w:tr>
      <w:tr>
        <w:tc>
          <w:tcPr>
            <w:tcW w:type="dxa" w:w="6160"/>
            <w:tcBorders>
              <w:top w:val="single" w:color="C8C2B6" w:sz="1"/>
              <w:left w:val="single" w:color="C8C2B6" w:sz="1"/>
              <w:bottom w:val="single" w:color="C8C2B6" w:sz="1"/>
              <w:right w:val="single" w:color="C8C2B6" w:sz="1"/>
            </w:tcBorders>
            <w:shd w:fill="FFFFFF" w:val="clear"/>
            <w:tcMar>
              <w:top w:type="dxa" w:w="80"/>
              <w:left w:type="dxa" w:w="120"/>
              <w:bottom w:type="dxa" w:w="80"/>
              <w:right w:type="dxa" w:w="120"/>
            </w:tcMar>
          </w:tcPr>
          <w:p>
            <w:pPr>
              <w:spacing w:after="100" w:before="0"/>
              <w:jc w:val="left"/>
            </w:pPr>
            <w:r>
              <w:rPr>
                <w:rFonts w:ascii="Arial" w:cs="Arial" w:eastAsia="Arial" w:hAnsi="Arial"/>
                <w:b w:val="false"/>
                <w:bCs w:val="false"/>
                <w:i w:val="false"/>
                <w:iCs w:val="false"/>
                <w:color w:val="2A2A28"/>
                <w:sz w:val="20"/>
                <w:szCs w:val="20"/>
              </w:rPr>
              <w:t xml:space="preserve">Bilingual community outreach materials</w:t>
            </w:r>
          </w:p>
        </w:tc>
        <w:tc>
          <w:tcPr>
            <w:tcW w:type="dxa" w:w="3200"/>
            <w:tcBorders>
              <w:top w:val="single" w:color="C8C2B6" w:sz="1"/>
              <w:left w:val="single" w:color="C8C2B6" w:sz="1"/>
              <w:bottom w:val="single" w:color="C8C2B6" w:sz="1"/>
              <w:right w:val="single" w:color="C8C2B6" w:sz="1"/>
            </w:tcBorders>
            <w:shd w:fill="FFFFFF" w:val="clear"/>
            <w:tcMar>
              <w:top w:type="dxa" w:w="80"/>
              <w:left w:type="dxa" w:w="120"/>
              <w:bottom w:type="dxa" w:w="80"/>
              <w:right w:type="dxa" w:w="120"/>
            </w:tcMar>
          </w:tcPr>
          <w:p>
            <w:pPr>
              <w:spacing w:after="100" w:before="0"/>
              <w:jc w:val="left"/>
            </w:pPr>
            <w:r>
              <w:rPr>
                <w:rFonts w:ascii="Arial" w:cs="Arial" w:eastAsia="Arial" w:hAnsi="Arial"/>
                <w:b w:val="false"/>
                <w:bCs w:val="false"/>
                <w:i w:val="false"/>
                <w:iCs w:val="false"/>
                <w:color w:val="2A2A28"/>
                <w:sz w:val="20"/>
                <w:szCs w:val="20"/>
              </w:rPr>
              <w:t xml:space="preserve">$1,000</w:t>
            </w:r>
          </w:p>
        </w:tc>
      </w:tr>
      <w:tr>
        <w:tc>
          <w:tcPr>
            <w:tcW w:type="dxa" w:w="6160"/>
            <w:tcBorders>
              <w:top w:val="single" w:color="C8C2B6" w:sz="1"/>
              <w:left w:val="single" w:color="C8C2B6" w:sz="1"/>
              <w:bottom w:val="single" w:color="C8C2B6" w:sz="1"/>
              <w:right w:val="single" w:color="C8C2B6" w:sz="1"/>
            </w:tcBorders>
            <w:shd w:fill="F2EFE9" w:val="clear"/>
            <w:tcMar>
              <w:top w:type="dxa" w:w="80"/>
              <w:left w:type="dxa" w:w="120"/>
              <w:bottom w:type="dxa" w:w="80"/>
              <w:right w:type="dxa" w:w="120"/>
            </w:tcMar>
          </w:tcPr>
          <w:p>
            <w:pPr>
              <w:spacing w:after="100" w:before="0"/>
              <w:jc w:val="left"/>
            </w:pPr>
            <w:r>
              <w:rPr>
                <w:rFonts w:ascii="Arial" w:cs="Arial" w:eastAsia="Arial" w:hAnsi="Arial"/>
                <w:b w:val="false"/>
                <w:bCs w:val="false"/>
                <w:i w:val="false"/>
                <w:iCs w:val="false"/>
                <w:color w:val="2A2A28"/>
                <w:sz w:val="20"/>
                <w:szCs w:val="20"/>
              </w:rPr>
              <w:t xml:space="preserve">Fiscal sponsorship administration (8%)</w:t>
            </w:r>
          </w:p>
        </w:tc>
        <w:tc>
          <w:tcPr>
            <w:tcW w:type="dxa" w:w="3200"/>
            <w:tcBorders>
              <w:top w:val="single" w:color="C8C2B6" w:sz="1"/>
              <w:left w:val="single" w:color="C8C2B6" w:sz="1"/>
              <w:bottom w:val="single" w:color="C8C2B6" w:sz="1"/>
              <w:right w:val="single" w:color="C8C2B6" w:sz="1"/>
            </w:tcBorders>
            <w:shd w:fill="F2EFE9" w:val="clear"/>
            <w:tcMar>
              <w:top w:type="dxa" w:w="80"/>
              <w:left w:type="dxa" w:w="120"/>
              <w:bottom w:type="dxa" w:w="80"/>
              <w:right w:type="dxa" w:w="120"/>
            </w:tcMar>
          </w:tcPr>
          <w:p>
            <w:pPr>
              <w:spacing w:after="100" w:before="0"/>
              <w:jc w:val="left"/>
            </w:pPr>
            <w:r>
              <w:rPr>
                <w:rFonts w:ascii="Arial" w:cs="Arial" w:eastAsia="Arial" w:hAnsi="Arial"/>
                <w:b w:val="false"/>
                <w:bCs w:val="false"/>
                <w:i w:val="false"/>
                <w:iCs w:val="false"/>
                <w:color w:val="2A2A28"/>
                <w:sz w:val="20"/>
                <w:szCs w:val="20"/>
              </w:rPr>
              <w:t xml:space="preserve">$1,000</w:t>
            </w:r>
          </w:p>
        </w:tc>
      </w:tr>
      <w:tr>
        <w:tc>
          <w:tcPr>
            <w:tcW w:type="dxa" w:w="6160"/>
            <w:tcBorders>
              <w:top w:val="single" w:color="C8C2B6" w:sz="1"/>
              <w:left w:val="single" w:color="C8C2B6" w:sz="1"/>
              <w:bottom w:val="single" w:color="C8C2B6" w:sz="1"/>
              <w:right w:val="single" w:color="C8C2B6" w:sz="1"/>
            </w:tcBorders>
            <w:shd w:fill="FFFFFF" w:val="clear"/>
            <w:tcMar>
              <w:top w:type="dxa" w:w="80"/>
              <w:left w:type="dxa" w:w="120"/>
              <w:bottom w:type="dxa" w:w="80"/>
              <w:right w:type="dxa" w:w="120"/>
            </w:tcMar>
          </w:tcPr>
          <w:p>
            <w:pPr>
              <w:spacing w:after="100" w:before="0"/>
              <w:jc w:val="left"/>
            </w:pPr>
            <w:r>
              <w:rPr>
                <w:rFonts w:ascii="Arial" w:cs="Arial" w:eastAsia="Arial" w:hAnsi="Arial"/>
                <w:b w:val="false"/>
                <w:bCs w:val="false"/>
                <w:i w:val="false"/>
                <w:iCs w:val="false"/>
                <w:color w:val="2A2A28"/>
                <w:sz w:val="20"/>
                <w:szCs w:val="20"/>
              </w:rPr>
              <w:t xml:space="preserve">Total</w:t>
            </w:r>
          </w:p>
        </w:tc>
        <w:tc>
          <w:tcPr>
            <w:tcW w:type="dxa" w:w="3200"/>
            <w:tcBorders>
              <w:top w:val="single" w:color="C8C2B6" w:sz="1"/>
              <w:left w:val="single" w:color="C8C2B6" w:sz="1"/>
              <w:bottom w:val="single" w:color="C8C2B6" w:sz="1"/>
              <w:right w:val="single" w:color="C8C2B6" w:sz="1"/>
            </w:tcBorders>
            <w:shd w:fill="FFFFFF" w:val="clear"/>
            <w:tcMar>
              <w:top w:type="dxa" w:w="80"/>
              <w:left w:type="dxa" w:w="120"/>
              <w:bottom w:type="dxa" w:w="80"/>
              <w:right w:type="dxa" w:w="120"/>
            </w:tcMar>
          </w:tcPr>
          <w:p>
            <w:pPr>
              <w:spacing w:after="100" w:before="0"/>
              <w:jc w:val="left"/>
            </w:pPr>
            <w:r>
              <w:rPr>
                <w:rFonts w:ascii="Arial" w:cs="Arial" w:eastAsia="Arial" w:hAnsi="Arial"/>
                <w:b/>
                <w:bCs/>
                <w:i w:val="false"/>
                <w:iCs w:val="false"/>
                <w:color w:val="2A2A28"/>
                <w:sz w:val="20"/>
                <w:szCs w:val="20"/>
              </w:rPr>
              <w:t xml:space="preserve">$12,500</w:t>
            </w:r>
          </w:p>
        </w:tc>
      </w:tr>
    </w:tbl>
    <w:p>
      <w:pPr>
        <w:spacing w:after="80" w:before="0"/>
        <w:jc w:val="left"/>
      </w:pPr>
      <w:r>
        <w:rPr>
          <w:rFonts w:ascii="Arial" w:cs="Arial" w:eastAsia="Arial" w:hAnsi="Arial"/>
          <w:b w:val="false"/>
          <w:bCs w:val="false"/>
          <w:i w:val="false"/>
          <w:iCs w:val="false"/>
          <w:color w:val="2A2A28"/>
          <w:sz w:val="22"/>
          <w:szCs w:val="22"/>
        </w:rPr>
        <w:t xml:space="preserve"/>
      </w:r>
    </w:p>
    <w:p>
      <w:pPr>
        <w:pStyle w:val="Heading2"/>
        <w:spacing w:after="120" w:before="360"/>
      </w:pPr>
      <w:r>
        <w:rPr>
          <w:rFonts w:ascii="Arial" w:cs="Arial" w:eastAsia="Arial" w:hAnsi="Arial"/>
          <w:b/>
          <w:bCs/>
          <w:color w:val="3D5040"/>
          <w:sz w:val="24"/>
          <w:szCs w:val="24"/>
        </w:rPr>
        <w:t xml:space="preserve">Package B — Civic Infrastructure for Rural Central Oregon ($48,000, two years)</w:t>
      </w:r>
    </w:p>
    <w:p>
      <w:pPr>
        <w:spacing w:after="110" w:before="0"/>
        <w:jc w:val="left"/>
      </w:pPr>
      <w:r>
        <w:rPr>
          <w:rFonts w:ascii="Arial" w:cs="Arial" w:eastAsia="Arial" w:hAnsi="Arial"/>
          <w:b w:val="false"/>
          <w:bCs w:val="false"/>
          <w:i w:val="false"/>
          <w:iCs w:val="false"/>
          <w:color w:val="2A2A28"/>
          <w:sz w:val="22"/>
          <w:szCs w:val="22"/>
        </w:rPr>
        <w:t xml:space="preserve">The flagship program: deepening Redmond and carrying the platform to the rural towns that need it most, with the community doing the carrying.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160"/>
        <w:gridCol w:w="3200"/>
      </w:tblGrid>
      <w:tr>
        <w:tc>
          <w:tcPr>
            <w:tcW w:type="dxa" w:w="6160"/>
            <w:tcBorders>
              <w:top w:val="single" w:color="6B8F6E" w:sz="1"/>
              <w:left w:val="single" w:color="6B8F6E" w:sz="1"/>
              <w:bottom w:val="single" w:color="6B8F6E" w:sz="1"/>
              <w:right w:val="single" w:color="6B8F6E" w:sz="1"/>
            </w:tcBorders>
            <w:shd w:fill="D7E2D7" w:val="clear"/>
            <w:tcMar>
              <w:top w:type="dxa" w:w="80"/>
              <w:left w:type="dxa" w:w="120"/>
              <w:bottom w:type="dxa" w:w="80"/>
              <w:right w:type="dxa" w:w="120"/>
            </w:tcMar>
          </w:tcPr>
          <w:p>
            <w:pPr>
              <w:spacing w:after="100" w:before="0"/>
              <w:jc w:val="left"/>
            </w:pPr>
            <w:r>
              <w:rPr>
                <w:rFonts w:ascii="Arial" w:cs="Arial" w:eastAsia="Arial" w:hAnsi="Arial"/>
                <w:b/>
                <w:bCs/>
                <w:i w:val="false"/>
                <w:iCs w:val="false"/>
                <w:color w:val="3D5040"/>
                <w:sz w:val="20"/>
                <w:szCs w:val="20"/>
              </w:rPr>
              <w:t xml:space="preserve">Year One</w:t>
            </w:r>
          </w:p>
        </w:tc>
        <w:tc>
          <w:tcPr>
            <w:tcW w:type="dxa" w:w="3200"/>
            <w:tcBorders>
              <w:top w:val="single" w:color="6B8F6E" w:sz="1"/>
              <w:left w:val="single" w:color="6B8F6E" w:sz="1"/>
              <w:bottom w:val="single" w:color="6B8F6E" w:sz="1"/>
              <w:right w:val="single" w:color="6B8F6E" w:sz="1"/>
            </w:tcBorders>
            <w:shd w:fill="D7E2D7" w:val="clear"/>
            <w:tcMar>
              <w:top w:type="dxa" w:w="80"/>
              <w:left w:type="dxa" w:w="120"/>
              <w:bottom w:type="dxa" w:w="80"/>
              <w:right w:type="dxa" w:w="120"/>
            </w:tcMar>
          </w:tcPr>
          <w:p>
            <w:pPr>
              <w:spacing w:after="100" w:before="0"/>
              <w:jc w:val="left"/>
            </w:pPr>
            <w:r>
              <w:rPr>
                <w:rFonts w:ascii="Arial" w:cs="Arial" w:eastAsia="Arial" w:hAnsi="Arial"/>
                <w:b/>
                <w:bCs/>
                <w:i w:val="false"/>
                <w:iCs w:val="false"/>
                <w:color w:val="3D5040"/>
                <w:sz w:val="20"/>
                <w:szCs w:val="20"/>
              </w:rPr>
              <w:t xml:space="preserve">$24,000</w:t>
            </w:r>
          </w:p>
        </w:tc>
      </w:tr>
      <w:tr>
        <w:tc>
          <w:tcPr>
            <w:tcW w:type="dxa" w:w="6160"/>
            <w:tcBorders>
              <w:top w:val="single" w:color="C8C2B6" w:sz="1"/>
              <w:left w:val="single" w:color="C8C2B6" w:sz="1"/>
              <w:bottom w:val="single" w:color="C8C2B6" w:sz="1"/>
              <w:right w:val="single" w:color="C8C2B6" w:sz="1"/>
            </w:tcBorders>
            <w:shd w:fill="FFFFFF" w:val="clear"/>
            <w:tcMar>
              <w:top w:type="dxa" w:w="80"/>
              <w:left w:type="dxa" w:w="120"/>
              <w:bottom w:type="dxa" w:w="80"/>
              <w:right w:type="dxa" w:w="120"/>
            </w:tcMar>
          </w:tcPr>
          <w:p>
            <w:pPr>
              <w:spacing w:after="100" w:before="0"/>
              <w:jc w:val="left"/>
            </w:pPr>
            <w:r>
              <w:rPr>
                <w:rFonts w:ascii="Arial" w:cs="Arial" w:eastAsia="Arial" w:hAnsi="Arial"/>
                <w:b w:val="false"/>
                <w:bCs w:val="false"/>
                <w:i w:val="false"/>
                <w:iCs w:val="false"/>
                <w:color w:val="2A2A28"/>
                <w:sz w:val="20"/>
                <w:szCs w:val="20"/>
              </w:rPr>
              <w:t xml:space="preserve">Part-time community coordinator (Redmond-based) — cohort support, moderation program, neighborhood outreach</w:t>
            </w:r>
          </w:p>
        </w:tc>
        <w:tc>
          <w:tcPr>
            <w:tcW w:type="dxa" w:w="3200"/>
            <w:tcBorders>
              <w:top w:val="single" w:color="C8C2B6" w:sz="1"/>
              <w:left w:val="single" w:color="C8C2B6" w:sz="1"/>
              <w:bottom w:val="single" w:color="C8C2B6" w:sz="1"/>
              <w:right w:val="single" w:color="C8C2B6" w:sz="1"/>
            </w:tcBorders>
            <w:shd w:fill="FFFFFF" w:val="clear"/>
            <w:tcMar>
              <w:top w:type="dxa" w:w="80"/>
              <w:left w:type="dxa" w:w="120"/>
              <w:bottom w:type="dxa" w:w="80"/>
              <w:right w:type="dxa" w:w="120"/>
            </w:tcMar>
          </w:tcPr>
          <w:p>
            <w:pPr>
              <w:spacing w:after="100" w:before="0"/>
              <w:jc w:val="left"/>
            </w:pPr>
            <w:r>
              <w:rPr>
                <w:rFonts w:ascii="Arial" w:cs="Arial" w:eastAsia="Arial" w:hAnsi="Arial"/>
                <w:b w:val="false"/>
                <w:bCs w:val="false"/>
                <w:i w:val="false"/>
                <w:iCs w:val="false"/>
                <w:color w:val="2A2A28"/>
                <w:sz w:val="20"/>
                <w:szCs w:val="20"/>
              </w:rPr>
              <w:t xml:space="preserve">$12,000</w:t>
            </w:r>
          </w:p>
        </w:tc>
      </w:tr>
      <w:tr>
        <w:tc>
          <w:tcPr>
            <w:tcW w:type="dxa" w:w="6160"/>
            <w:tcBorders>
              <w:top w:val="single" w:color="C8C2B6" w:sz="1"/>
              <w:left w:val="single" w:color="C8C2B6" w:sz="1"/>
              <w:bottom w:val="single" w:color="C8C2B6" w:sz="1"/>
              <w:right w:val="single" w:color="C8C2B6" w:sz="1"/>
            </w:tcBorders>
            <w:shd w:fill="F2EFE9" w:val="clear"/>
            <w:tcMar>
              <w:top w:type="dxa" w:w="80"/>
              <w:left w:type="dxa" w:w="120"/>
              <w:bottom w:type="dxa" w:w="80"/>
              <w:right w:type="dxa" w:w="120"/>
            </w:tcMar>
          </w:tcPr>
          <w:p>
            <w:pPr>
              <w:spacing w:after="100" w:before="0"/>
              <w:jc w:val="left"/>
            </w:pPr>
            <w:r>
              <w:rPr>
                <w:rFonts w:ascii="Arial" w:cs="Arial" w:eastAsia="Arial" w:hAnsi="Arial"/>
                <w:b w:val="false"/>
                <w:bCs w:val="false"/>
                <w:i w:val="false"/>
                <w:iCs w:val="false"/>
                <w:color w:val="2A2A28"/>
                <w:sz w:val="20"/>
                <w:szCs w:val="20"/>
              </w:rPr>
              <w:t xml:space="preserve">Listening sessions across rural towns — Sisters, La Pine, Madras, Prineville, Terrebonne, Culver</w:t>
            </w:r>
          </w:p>
        </w:tc>
        <w:tc>
          <w:tcPr>
            <w:tcW w:type="dxa" w:w="3200"/>
            <w:tcBorders>
              <w:top w:val="single" w:color="C8C2B6" w:sz="1"/>
              <w:left w:val="single" w:color="C8C2B6" w:sz="1"/>
              <w:bottom w:val="single" w:color="C8C2B6" w:sz="1"/>
              <w:right w:val="single" w:color="C8C2B6" w:sz="1"/>
            </w:tcBorders>
            <w:shd w:fill="F2EFE9" w:val="clear"/>
            <w:tcMar>
              <w:top w:type="dxa" w:w="80"/>
              <w:left w:type="dxa" w:w="120"/>
              <w:bottom w:type="dxa" w:w="80"/>
              <w:right w:type="dxa" w:w="120"/>
            </w:tcMar>
          </w:tcPr>
          <w:p>
            <w:pPr>
              <w:spacing w:after="100" w:before="0"/>
              <w:jc w:val="left"/>
            </w:pPr>
            <w:r>
              <w:rPr>
                <w:rFonts w:ascii="Arial" w:cs="Arial" w:eastAsia="Arial" w:hAnsi="Arial"/>
                <w:b w:val="false"/>
                <w:bCs w:val="false"/>
                <w:i w:val="false"/>
                <w:iCs w:val="false"/>
                <w:color w:val="2A2A28"/>
                <w:sz w:val="20"/>
                <w:szCs w:val="20"/>
              </w:rPr>
              <w:t xml:space="preserve">$3,000</w:t>
            </w:r>
          </w:p>
        </w:tc>
      </w:tr>
      <w:tr>
        <w:tc>
          <w:tcPr>
            <w:tcW w:type="dxa" w:w="6160"/>
            <w:tcBorders>
              <w:top w:val="single" w:color="C8C2B6" w:sz="1"/>
              <w:left w:val="single" w:color="C8C2B6" w:sz="1"/>
              <w:bottom w:val="single" w:color="C8C2B6" w:sz="1"/>
              <w:right w:val="single" w:color="C8C2B6" w:sz="1"/>
            </w:tcBorders>
            <w:shd w:fill="FFFFFF" w:val="clear"/>
            <w:tcMar>
              <w:top w:type="dxa" w:w="80"/>
              <w:left w:type="dxa" w:w="120"/>
              <w:bottom w:type="dxa" w:w="80"/>
              <w:right w:type="dxa" w:w="120"/>
            </w:tcMar>
          </w:tcPr>
          <w:p>
            <w:pPr>
              <w:spacing w:after="100" w:before="0"/>
              <w:jc w:val="left"/>
            </w:pPr>
            <w:r>
              <w:rPr>
                <w:rFonts w:ascii="Arial" w:cs="Arial" w:eastAsia="Arial" w:hAnsi="Arial"/>
                <w:b w:val="false"/>
                <w:bCs w:val="false"/>
                <w:i w:val="false"/>
                <w:iCs w:val="false"/>
                <w:color w:val="2A2A28"/>
                <w:sz w:val="20"/>
                <w:szCs w:val="20"/>
              </w:rPr>
              <w:t xml:space="preserve">Spanish localization &amp; accessibility maintenance</w:t>
            </w:r>
          </w:p>
        </w:tc>
        <w:tc>
          <w:tcPr>
            <w:tcW w:type="dxa" w:w="3200"/>
            <w:tcBorders>
              <w:top w:val="single" w:color="C8C2B6" w:sz="1"/>
              <w:left w:val="single" w:color="C8C2B6" w:sz="1"/>
              <w:bottom w:val="single" w:color="C8C2B6" w:sz="1"/>
              <w:right w:val="single" w:color="C8C2B6" w:sz="1"/>
            </w:tcBorders>
            <w:shd w:fill="FFFFFF" w:val="clear"/>
            <w:tcMar>
              <w:top w:type="dxa" w:w="80"/>
              <w:left w:type="dxa" w:w="120"/>
              <w:bottom w:type="dxa" w:w="80"/>
              <w:right w:type="dxa" w:w="120"/>
            </w:tcMar>
          </w:tcPr>
          <w:p>
            <w:pPr>
              <w:spacing w:after="100" w:before="0"/>
              <w:jc w:val="left"/>
            </w:pPr>
            <w:r>
              <w:rPr>
                <w:rFonts w:ascii="Arial" w:cs="Arial" w:eastAsia="Arial" w:hAnsi="Arial"/>
                <w:b w:val="false"/>
                <w:bCs w:val="false"/>
                <w:i w:val="false"/>
                <w:iCs w:val="false"/>
                <w:color w:val="2A2A28"/>
                <w:sz w:val="20"/>
                <w:szCs w:val="20"/>
              </w:rPr>
              <w:t xml:space="preserve">$3,500</w:t>
            </w:r>
          </w:p>
        </w:tc>
      </w:tr>
      <w:tr>
        <w:tc>
          <w:tcPr>
            <w:tcW w:type="dxa" w:w="6160"/>
            <w:tcBorders>
              <w:top w:val="single" w:color="C8C2B6" w:sz="1"/>
              <w:left w:val="single" w:color="C8C2B6" w:sz="1"/>
              <w:bottom w:val="single" w:color="C8C2B6" w:sz="1"/>
              <w:right w:val="single" w:color="C8C2B6" w:sz="1"/>
            </w:tcBorders>
            <w:shd w:fill="F2EFE9" w:val="clear"/>
            <w:tcMar>
              <w:top w:type="dxa" w:w="80"/>
              <w:left w:type="dxa" w:w="120"/>
              <w:bottom w:type="dxa" w:w="80"/>
              <w:right w:type="dxa" w:w="120"/>
            </w:tcMar>
          </w:tcPr>
          <w:p>
            <w:pPr>
              <w:spacing w:after="100" w:before="0"/>
              <w:jc w:val="left"/>
            </w:pPr>
            <w:r>
              <w:rPr>
                <w:rFonts w:ascii="Arial" w:cs="Arial" w:eastAsia="Arial" w:hAnsi="Arial"/>
                <w:b w:val="false"/>
                <w:bCs w:val="false"/>
                <w:i w:val="false"/>
                <w:iCs w:val="false"/>
                <w:color w:val="2A2A28"/>
                <w:sz w:val="20"/>
                <w:szCs w:val="20"/>
              </w:rPr>
              <w:t xml:space="preserve">Public transparency reporting (quarterly, bilingual)</w:t>
            </w:r>
          </w:p>
        </w:tc>
        <w:tc>
          <w:tcPr>
            <w:tcW w:type="dxa" w:w="3200"/>
            <w:tcBorders>
              <w:top w:val="single" w:color="C8C2B6" w:sz="1"/>
              <w:left w:val="single" w:color="C8C2B6" w:sz="1"/>
              <w:bottom w:val="single" w:color="C8C2B6" w:sz="1"/>
              <w:right w:val="single" w:color="C8C2B6" w:sz="1"/>
            </w:tcBorders>
            <w:shd w:fill="F2EFE9" w:val="clear"/>
            <w:tcMar>
              <w:top w:type="dxa" w:w="80"/>
              <w:left w:type="dxa" w:w="120"/>
              <w:bottom w:type="dxa" w:w="80"/>
              <w:right w:type="dxa" w:w="120"/>
            </w:tcMar>
          </w:tcPr>
          <w:p>
            <w:pPr>
              <w:spacing w:after="100" w:before="0"/>
              <w:jc w:val="left"/>
            </w:pPr>
            <w:r>
              <w:rPr>
                <w:rFonts w:ascii="Arial" w:cs="Arial" w:eastAsia="Arial" w:hAnsi="Arial"/>
                <w:b w:val="false"/>
                <w:bCs w:val="false"/>
                <w:i w:val="false"/>
                <w:iCs w:val="false"/>
                <w:color w:val="2A2A28"/>
                <w:sz w:val="20"/>
                <w:szCs w:val="20"/>
              </w:rPr>
              <w:t xml:space="preserve">$2,000</w:t>
            </w:r>
          </w:p>
        </w:tc>
      </w:tr>
      <w:tr>
        <w:tc>
          <w:tcPr>
            <w:tcW w:type="dxa" w:w="6160"/>
            <w:tcBorders>
              <w:top w:val="single" w:color="C8C2B6" w:sz="1"/>
              <w:left w:val="single" w:color="C8C2B6" w:sz="1"/>
              <w:bottom w:val="single" w:color="C8C2B6" w:sz="1"/>
              <w:right w:val="single" w:color="C8C2B6" w:sz="1"/>
            </w:tcBorders>
            <w:shd w:fill="FFFFFF" w:val="clear"/>
            <w:tcMar>
              <w:top w:type="dxa" w:w="80"/>
              <w:left w:type="dxa" w:w="120"/>
              <w:bottom w:type="dxa" w:w="80"/>
              <w:right w:type="dxa" w:w="120"/>
            </w:tcMar>
          </w:tcPr>
          <w:p>
            <w:pPr>
              <w:spacing w:after="100" w:before="0"/>
              <w:jc w:val="left"/>
            </w:pPr>
            <w:r>
              <w:rPr>
                <w:rFonts w:ascii="Arial" w:cs="Arial" w:eastAsia="Arial" w:hAnsi="Arial"/>
                <w:b w:val="false"/>
                <w:bCs w:val="false"/>
                <w:i w:val="false"/>
                <w:iCs w:val="false"/>
                <w:color w:val="2A2A28"/>
                <w:sz w:val="20"/>
                <w:szCs w:val="20"/>
              </w:rPr>
              <w:t xml:space="preserve">Bilingual outreach &amp; materials</w:t>
            </w:r>
          </w:p>
        </w:tc>
        <w:tc>
          <w:tcPr>
            <w:tcW w:type="dxa" w:w="3200"/>
            <w:tcBorders>
              <w:top w:val="single" w:color="C8C2B6" w:sz="1"/>
              <w:left w:val="single" w:color="C8C2B6" w:sz="1"/>
              <w:bottom w:val="single" w:color="C8C2B6" w:sz="1"/>
              <w:right w:val="single" w:color="C8C2B6" w:sz="1"/>
            </w:tcBorders>
            <w:shd w:fill="FFFFFF" w:val="clear"/>
            <w:tcMar>
              <w:top w:type="dxa" w:w="80"/>
              <w:left w:type="dxa" w:w="120"/>
              <w:bottom w:type="dxa" w:w="80"/>
              <w:right w:type="dxa" w:w="120"/>
            </w:tcMar>
          </w:tcPr>
          <w:p>
            <w:pPr>
              <w:spacing w:after="100" w:before="0"/>
              <w:jc w:val="left"/>
            </w:pPr>
            <w:r>
              <w:rPr>
                <w:rFonts w:ascii="Arial" w:cs="Arial" w:eastAsia="Arial" w:hAnsi="Arial"/>
                <w:b w:val="false"/>
                <w:bCs w:val="false"/>
                <w:i w:val="false"/>
                <w:iCs w:val="false"/>
                <w:color w:val="2A2A28"/>
                <w:sz w:val="20"/>
                <w:szCs w:val="20"/>
              </w:rPr>
              <w:t xml:space="preserve">$1,500</w:t>
            </w:r>
          </w:p>
        </w:tc>
      </w:tr>
      <w:tr>
        <w:tc>
          <w:tcPr>
            <w:tcW w:type="dxa" w:w="6160"/>
            <w:tcBorders>
              <w:top w:val="single" w:color="C8C2B6" w:sz="1"/>
              <w:left w:val="single" w:color="C8C2B6" w:sz="1"/>
              <w:bottom w:val="single" w:color="C8C2B6" w:sz="1"/>
              <w:right w:val="single" w:color="C8C2B6" w:sz="1"/>
            </w:tcBorders>
            <w:shd w:fill="F2EFE9" w:val="clear"/>
            <w:tcMar>
              <w:top w:type="dxa" w:w="80"/>
              <w:left w:type="dxa" w:w="120"/>
              <w:bottom w:type="dxa" w:w="80"/>
              <w:right w:type="dxa" w:w="120"/>
            </w:tcMar>
          </w:tcPr>
          <w:p>
            <w:pPr>
              <w:spacing w:after="100" w:before="0"/>
              <w:jc w:val="left"/>
            </w:pPr>
            <w:r>
              <w:rPr>
                <w:rFonts w:ascii="Arial" w:cs="Arial" w:eastAsia="Arial" w:hAnsi="Arial"/>
                <w:b w:val="false"/>
                <w:bCs w:val="false"/>
                <w:i w:val="false"/>
                <w:iCs w:val="false"/>
                <w:color w:val="2A2A28"/>
                <w:sz w:val="20"/>
                <w:szCs w:val="20"/>
              </w:rPr>
              <w:t xml:space="preserve">Administration</w:t>
            </w:r>
          </w:p>
        </w:tc>
        <w:tc>
          <w:tcPr>
            <w:tcW w:type="dxa" w:w="3200"/>
            <w:tcBorders>
              <w:top w:val="single" w:color="C8C2B6" w:sz="1"/>
              <w:left w:val="single" w:color="C8C2B6" w:sz="1"/>
              <w:bottom w:val="single" w:color="C8C2B6" w:sz="1"/>
              <w:right w:val="single" w:color="C8C2B6" w:sz="1"/>
            </w:tcBorders>
            <w:shd w:fill="F2EFE9" w:val="clear"/>
            <w:tcMar>
              <w:top w:type="dxa" w:w="80"/>
              <w:left w:type="dxa" w:w="120"/>
              <w:bottom w:type="dxa" w:w="80"/>
              <w:right w:type="dxa" w:w="120"/>
            </w:tcMar>
          </w:tcPr>
          <w:p>
            <w:pPr>
              <w:spacing w:after="100" w:before="0"/>
              <w:jc w:val="left"/>
            </w:pPr>
            <w:r>
              <w:rPr>
                <w:rFonts w:ascii="Arial" w:cs="Arial" w:eastAsia="Arial" w:hAnsi="Arial"/>
                <w:b w:val="false"/>
                <w:bCs w:val="false"/>
                <w:i w:val="false"/>
                <w:iCs w:val="false"/>
                <w:color w:val="2A2A28"/>
                <w:sz w:val="20"/>
                <w:szCs w:val="20"/>
              </w:rPr>
              <w:t xml:space="preserve">$2,000</w:t>
            </w:r>
          </w:p>
        </w:tc>
      </w:tr>
      <w:tr>
        <w:tc>
          <w:tcPr>
            <w:tcW w:type="dxa" w:w="6160"/>
            <w:tcBorders>
              <w:top w:val="single" w:color="6B8F6E" w:sz="1"/>
              <w:left w:val="single" w:color="6B8F6E" w:sz="1"/>
              <w:bottom w:val="single" w:color="6B8F6E" w:sz="1"/>
              <w:right w:val="single" w:color="6B8F6E" w:sz="1"/>
            </w:tcBorders>
            <w:shd w:fill="D7E2D7" w:val="clear"/>
            <w:tcMar>
              <w:top w:type="dxa" w:w="80"/>
              <w:left w:type="dxa" w:w="120"/>
              <w:bottom w:type="dxa" w:w="80"/>
              <w:right w:type="dxa" w:w="120"/>
            </w:tcMar>
          </w:tcPr>
          <w:p>
            <w:pPr>
              <w:spacing w:after="100" w:before="0"/>
              <w:jc w:val="left"/>
            </w:pPr>
            <w:r>
              <w:rPr>
                <w:rFonts w:ascii="Arial" w:cs="Arial" w:eastAsia="Arial" w:hAnsi="Arial"/>
                <w:b/>
                <w:bCs/>
                <w:i w:val="false"/>
                <w:iCs w:val="false"/>
                <w:color w:val="3D5040"/>
                <w:sz w:val="20"/>
                <w:szCs w:val="20"/>
              </w:rPr>
              <w:t xml:space="preserve">Year Two</w:t>
            </w:r>
          </w:p>
        </w:tc>
        <w:tc>
          <w:tcPr>
            <w:tcW w:type="dxa" w:w="3200"/>
            <w:tcBorders>
              <w:top w:val="single" w:color="6B8F6E" w:sz="1"/>
              <w:left w:val="single" w:color="6B8F6E" w:sz="1"/>
              <w:bottom w:val="single" w:color="6B8F6E" w:sz="1"/>
              <w:right w:val="single" w:color="6B8F6E" w:sz="1"/>
            </w:tcBorders>
            <w:shd w:fill="D7E2D7" w:val="clear"/>
            <w:tcMar>
              <w:top w:type="dxa" w:w="80"/>
              <w:left w:type="dxa" w:w="120"/>
              <w:bottom w:type="dxa" w:w="80"/>
              <w:right w:type="dxa" w:w="120"/>
            </w:tcMar>
          </w:tcPr>
          <w:p>
            <w:pPr>
              <w:spacing w:after="100" w:before="0"/>
              <w:jc w:val="left"/>
            </w:pPr>
            <w:r>
              <w:rPr>
                <w:rFonts w:ascii="Arial" w:cs="Arial" w:eastAsia="Arial" w:hAnsi="Arial"/>
                <w:b/>
                <w:bCs/>
                <w:i w:val="false"/>
                <w:iCs w:val="false"/>
                <w:color w:val="3D5040"/>
                <w:sz w:val="20"/>
                <w:szCs w:val="20"/>
              </w:rPr>
              <w:t xml:space="preserve">$24,000</w:t>
            </w:r>
          </w:p>
        </w:tc>
      </w:tr>
      <w:tr>
        <w:tc>
          <w:tcPr>
            <w:tcW w:type="dxa" w:w="6160"/>
            <w:tcBorders>
              <w:top w:val="single" w:color="C8C2B6" w:sz="1"/>
              <w:left w:val="single" w:color="C8C2B6" w:sz="1"/>
              <w:bottom w:val="single" w:color="C8C2B6" w:sz="1"/>
              <w:right w:val="single" w:color="C8C2B6" w:sz="1"/>
            </w:tcBorders>
            <w:shd w:fill="FFFFFF" w:val="clear"/>
            <w:tcMar>
              <w:top w:type="dxa" w:w="80"/>
              <w:left w:type="dxa" w:w="120"/>
              <w:bottom w:type="dxa" w:w="80"/>
              <w:right w:type="dxa" w:w="120"/>
            </w:tcMar>
          </w:tcPr>
          <w:p>
            <w:pPr>
              <w:spacing w:after="100" w:before="0"/>
              <w:jc w:val="left"/>
            </w:pPr>
            <w:r>
              <w:rPr>
                <w:rFonts w:ascii="Arial" w:cs="Arial" w:eastAsia="Arial" w:hAnsi="Arial"/>
                <w:b w:val="false"/>
                <w:bCs w:val="false"/>
                <w:i w:val="false"/>
                <w:iCs w:val="false"/>
                <w:color w:val="2A2A28"/>
                <w:sz w:val="20"/>
                <w:szCs w:val="20"/>
              </w:rPr>
              <w:t xml:space="preserve">Community coordinator (continued)</w:t>
            </w:r>
          </w:p>
        </w:tc>
        <w:tc>
          <w:tcPr>
            <w:tcW w:type="dxa" w:w="3200"/>
            <w:tcBorders>
              <w:top w:val="single" w:color="C8C2B6" w:sz="1"/>
              <w:left w:val="single" w:color="C8C2B6" w:sz="1"/>
              <w:bottom w:val="single" w:color="C8C2B6" w:sz="1"/>
              <w:right w:val="single" w:color="C8C2B6" w:sz="1"/>
            </w:tcBorders>
            <w:shd w:fill="FFFFFF" w:val="clear"/>
            <w:tcMar>
              <w:top w:type="dxa" w:w="80"/>
              <w:left w:type="dxa" w:w="120"/>
              <w:bottom w:type="dxa" w:w="80"/>
              <w:right w:type="dxa" w:w="120"/>
            </w:tcMar>
          </w:tcPr>
          <w:p>
            <w:pPr>
              <w:spacing w:after="100" w:before="0"/>
              <w:jc w:val="left"/>
            </w:pPr>
            <w:r>
              <w:rPr>
                <w:rFonts w:ascii="Arial" w:cs="Arial" w:eastAsia="Arial" w:hAnsi="Arial"/>
                <w:b w:val="false"/>
                <w:bCs w:val="false"/>
                <w:i w:val="false"/>
                <w:iCs w:val="false"/>
                <w:color w:val="2A2A28"/>
                <w:sz w:val="20"/>
                <w:szCs w:val="20"/>
              </w:rPr>
              <w:t xml:space="preserve">$10,000</w:t>
            </w:r>
          </w:p>
        </w:tc>
      </w:tr>
      <w:tr>
        <w:tc>
          <w:tcPr>
            <w:tcW w:type="dxa" w:w="6160"/>
            <w:tcBorders>
              <w:top w:val="single" w:color="C8C2B6" w:sz="1"/>
              <w:left w:val="single" w:color="C8C2B6" w:sz="1"/>
              <w:bottom w:val="single" w:color="C8C2B6" w:sz="1"/>
              <w:right w:val="single" w:color="C8C2B6" w:sz="1"/>
            </w:tcBorders>
            <w:shd w:fill="F2EFE9" w:val="clear"/>
            <w:tcMar>
              <w:top w:type="dxa" w:w="80"/>
              <w:left w:type="dxa" w:w="120"/>
              <w:bottom w:type="dxa" w:w="80"/>
              <w:right w:type="dxa" w:w="120"/>
            </w:tcMar>
          </w:tcPr>
          <w:p>
            <w:pPr>
              <w:spacing w:after="100" w:before="0"/>
              <w:jc w:val="left"/>
            </w:pPr>
            <w:r>
              <w:rPr>
                <w:rFonts w:ascii="Arial" w:cs="Arial" w:eastAsia="Arial" w:hAnsi="Arial"/>
                <w:b w:val="false"/>
                <w:bCs w:val="false"/>
                <w:i w:val="false"/>
                <w:iCs w:val="false"/>
                <w:color w:val="2A2A28"/>
                <w:sz w:val="20"/>
                <w:szCs w:val="20"/>
              </w:rPr>
              <w:t xml:space="preserve">Paid student internship pilot — two Central Oregon students (tech &amp; community tracks), above minimum wage, public showcase</w:t>
            </w:r>
          </w:p>
        </w:tc>
        <w:tc>
          <w:tcPr>
            <w:tcW w:type="dxa" w:w="3200"/>
            <w:tcBorders>
              <w:top w:val="single" w:color="C8C2B6" w:sz="1"/>
              <w:left w:val="single" w:color="C8C2B6" w:sz="1"/>
              <w:bottom w:val="single" w:color="C8C2B6" w:sz="1"/>
              <w:right w:val="single" w:color="C8C2B6" w:sz="1"/>
            </w:tcBorders>
            <w:shd w:fill="F2EFE9" w:val="clear"/>
            <w:tcMar>
              <w:top w:type="dxa" w:w="80"/>
              <w:left w:type="dxa" w:w="120"/>
              <w:bottom w:type="dxa" w:w="80"/>
              <w:right w:type="dxa" w:w="120"/>
            </w:tcMar>
          </w:tcPr>
          <w:p>
            <w:pPr>
              <w:spacing w:after="100" w:before="0"/>
              <w:jc w:val="left"/>
            </w:pPr>
            <w:r>
              <w:rPr>
                <w:rFonts w:ascii="Arial" w:cs="Arial" w:eastAsia="Arial" w:hAnsi="Arial"/>
                <w:b w:val="false"/>
                <w:bCs w:val="false"/>
                <w:i w:val="false"/>
                <w:iCs w:val="false"/>
                <w:color w:val="2A2A28"/>
                <w:sz w:val="20"/>
                <w:szCs w:val="20"/>
              </w:rPr>
              <w:t xml:space="preserve">$8,000</w:t>
            </w:r>
          </w:p>
        </w:tc>
      </w:tr>
      <w:tr>
        <w:tc>
          <w:tcPr>
            <w:tcW w:type="dxa" w:w="6160"/>
            <w:tcBorders>
              <w:top w:val="single" w:color="C8C2B6" w:sz="1"/>
              <w:left w:val="single" w:color="C8C2B6" w:sz="1"/>
              <w:bottom w:val="single" w:color="C8C2B6" w:sz="1"/>
              <w:right w:val="single" w:color="C8C2B6" w:sz="1"/>
            </w:tcBorders>
            <w:shd w:fill="FFFFFF" w:val="clear"/>
            <w:tcMar>
              <w:top w:type="dxa" w:w="80"/>
              <w:left w:type="dxa" w:w="120"/>
              <w:bottom w:type="dxa" w:w="80"/>
              <w:right w:type="dxa" w:w="120"/>
            </w:tcMar>
          </w:tcPr>
          <w:p>
            <w:pPr>
              <w:spacing w:after="100" w:before="0"/>
              <w:jc w:val="left"/>
            </w:pPr>
            <w:r>
              <w:rPr>
                <w:rFonts w:ascii="Arial" w:cs="Arial" w:eastAsia="Arial" w:hAnsi="Arial"/>
                <w:b w:val="false"/>
                <w:bCs w:val="false"/>
                <w:i w:val="false"/>
                <w:iCs w:val="false"/>
                <w:color w:val="2A2A28"/>
                <w:sz w:val="20"/>
                <w:szCs w:val="20"/>
              </w:rPr>
              <w:t xml:space="preserve">Localization &amp; accessibility maintenance</w:t>
            </w:r>
          </w:p>
        </w:tc>
        <w:tc>
          <w:tcPr>
            <w:tcW w:type="dxa" w:w="3200"/>
            <w:tcBorders>
              <w:top w:val="single" w:color="C8C2B6" w:sz="1"/>
              <w:left w:val="single" w:color="C8C2B6" w:sz="1"/>
              <w:bottom w:val="single" w:color="C8C2B6" w:sz="1"/>
              <w:right w:val="single" w:color="C8C2B6" w:sz="1"/>
            </w:tcBorders>
            <w:shd w:fill="FFFFFF" w:val="clear"/>
            <w:tcMar>
              <w:top w:type="dxa" w:w="80"/>
              <w:left w:type="dxa" w:w="120"/>
              <w:bottom w:type="dxa" w:w="80"/>
              <w:right w:type="dxa" w:w="120"/>
            </w:tcMar>
          </w:tcPr>
          <w:p>
            <w:pPr>
              <w:spacing w:after="100" w:before="0"/>
              <w:jc w:val="left"/>
            </w:pPr>
            <w:r>
              <w:rPr>
                <w:rFonts w:ascii="Arial" w:cs="Arial" w:eastAsia="Arial" w:hAnsi="Arial"/>
                <w:b w:val="false"/>
                <w:bCs w:val="false"/>
                <w:i w:val="false"/>
                <w:iCs w:val="false"/>
                <w:color w:val="2A2A28"/>
                <w:sz w:val="20"/>
                <w:szCs w:val="20"/>
              </w:rPr>
              <w:t xml:space="preserve">$3,000</w:t>
            </w:r>
          </w:p>
        </w:tc>
      </w:tr>
      <w:tr>
        <w:tc>
          <w:tcPr>
            <w:tcW w:type="dxa" w:w="6160"/>
            <w:tcBorders>
              <w:top w:val="single" w:color="C8C2B6" w:sz="1"/>
              <w:left w:val="single" w:color="C8C2B6" w:sz="1"/>
              <w:bottom w:val="single" w:color="C8C2B6" w:sz="1"/>
              <w:right w:val="single" w:color="C8C2B6" w:sz="1"/>
            </w:tcBorders>
            <w:shd w:fill="F2EFE9" w:val="clear"/>
            <w:tcMar>
              <w:top w:type="dxa" w:w="80"/>
              <w:left w:type="dxa" w:w="120"/>
              <w:bottom w:type="dxa" w:w="80"/>
              <w:right w:type="dxa" w:w="120"/>
            </w:tcMar>
          </w:tcPr>
          <w:p>
            <w:pPr>
              <w:spacing w:after="100" w:before="0"/>
              <w:jc w:val="left"/>
            </w:pPr>
            <w:r>
              <w:rPr>
                <w:rFonts w:ascii="Arial" w:cs="Arial" w:eastAsia="Arial" w:hAnsi="Arial"/>
                <w:b w:val="false"/>
                <w:bCs w:val="false"/>
                <w:i w:val="false"/>
                <w:iCs w:val="false"/>
                <w:color w:val="2A2A28"/>
                <w:sz w:val="20"/>
                <w:szCs w:val="20"/>
              </w:rPr>
              <w:t xml:space="preserve">Internship showcase &amp; program evaluation</w:t>
            </w:r>
          </w:p>
        </w:tc>
        <w:tc>
          <w:tcPr>
            <w:tcW w:type="dxa" w:w="3200"/>
            <w:tcBorders>
              <w:top w:val="single" w:color="C8C2B6" w:sz="1"/>
              <w:left w:val="single" w:color="C8C2B6" w:sz="1"/>
              <w:bottom w:val="single" w:color="C8C2B6" w:sz="1"/>
              <w:right w:val="single" w:color="C8C2B6" w:sz="1"/>
            </w:tcBorders>
            <w:shd w:fill="F2EFE9" w:val="clear"/>
            <w:tcMar>
              <w:top w:type="dxa" w:w="80"/>
              <w:left w:type="dxa" w:w="120"/>
              <w:bottom w:type="dxa" w:w="80"/>
              <w:right w:type="dxa" w:w="120"/>
            </w:tcMar>
          </w:tcPr>
          <w:p>
            <w:pPr>
              <w:spacing w:after="100" w:before="0"/>
              <w:jc w:val="left"/>
            </w:pPr>
            <w:r>
              <w:rPr>
                <w:rFonts w:ascii="Arial" w:cs="Arial" w:eastAsia="Arial" w:hAnsi="Arial"/>
                <w:b w:val="false"/>
                <w:bCs w:val="false"/>
                <w:i w:val="false"/>
                <w:iCs w:val="false"/>
                <w:color w:val="2A2A28"/>
                <w:sz w:val="20"/>
                <w:szCs w:val="20"/>
              </w:rPr>
              <w:t xml:space="preserve">$1,500</w:t>
            </w:r>
          </w:p>
        </w:tc>
      </w:tr>
      <w:tr>
        <w:tc>
          <w:tcPr>
            <w:tcW w:type="dxa" w:w="6160"/>
            <w:tcBorders>
              <w:top w:val="single" w:color="C8C2B6" w:sz="1"/>
              <w:left w:val="single" w:color="C8C2B6" w:sz="1"/>
              <w:bottom w:val="single" w:color="C8C2B6" w:sz="1"/>
              <w:right w:val="single" w:color="C8C2B6" w:sz="1"/>
            </w:tcBorders>
            <w:shd w:fill="FFFFFF" w:val="clear"/>
            <w:tcMar>
              <w:top w:type="dxa" w:w="80"/>
              <w:left w:type="dxa" w:w="120"/>
              <w:bottom w:type="dxa" w:w="80"/>
              <w:right w:type="dxa" w:w="120"/>
            </w:tcMar>
          </w:tcPr>
          <w:p>
            <w:pPr>
              <w:spacing w:after="100" w:before="0"/>
              <w:jc w:val="left"/>
            </w:pPr>
            <w:r>
              <w:rPr>
                <w:rFonts w:ascii="Arial" w:cs="Arial" w:eastAsia="Arial" w:hAnsi="Arial"/>
                <w:b w:val="false"/>
                <w:bCs w:val="false"/>
                <w:i w:val="false"/>
                <w:iCs w:val="false"/>
                <w:color w:val="2A2A28"/>
                <w:sz w:val="20"/>
                <w:szCs w:val="20"/>
              </w:rPr>
              <w:t xml:space="preserve">Administration</w:t>
            </w:r>
          </w:p>
        </w:tc>
        <w:tc>
          <w:tcPr>
            <w:tcW w:type="dxa" w:w="3200"/>
            <w:tcBorders>
              <w:top w:val="single" w:color="C8C2B6" w:sz="1"/>
              <w:left w:val="single" w:color="C8C2B6" w:sz="1"/>
              <w:bottom w:val="single" w:color="C8C2B6" w:sz="1"/>
              <w:right w:val="single" w:color="C8C2B6" w:sz="1"/>
            </w:tcBorders>
            <w:shd w:fill="FFFFFF" w:val="clear"/>
            <w:tcMar>
              <w:top w:type="dxa" w:w="80"/>
              <w:left w:type="dxa" w:w="120"/>
              <w:bottom w:type="dxa" w:w="80"/>
              <w:right w:type="dxa" w:w="120"/>
            </w:tcMar>
          </w:tcPr>
          <w:p>
            <w:pPr>
              <w:spacing w:after="100" w:before="0"/>
              <w:jc w:val="left"/>
            </w:pPr>
            <w:r>
              <w:rPr>
                <w:rFonts w:ascii="Arial" w:cs="Arial" w:eastAsia="Arial" w:hAnsi="Arial"/>
                <w:b w:val="false"/>
                <w:bCs w:val="false"/>
                <w:i w:val="false"/>
                <w:iCs w:val="false"/>
                <w:color w:val="2A2A28"/>
                <w:sz w:val="20"/>
                <w:szCs w:val="20"/>
              </w:rPr>
              <w:t xml:space="preserve">$1,500</w:t>
            </w:r>
          </w:p>
        </w:tc>
      </w:tr>
      <w:tr>
        <w:tc>
          <w:tcPr>
            <w:tcW w:type="dxa" w:w="6160"/>
            <w:tcBorders>
              <w:top w:val="single" w:color="C8C2B6" w:sz="1"/>
              <w:left w:val="single" w:color="C8C2B6" w:sz="1"/>
              <w:bottom w:val="single" w:color="C8C2B6" w:sz="1"/>
              <w:right w:val="single" w:color="C8C2B6" w:sz="1"/>
            </w:tcBorders>
            <w:shd w:fill="F2EFE9" w:val="clear"/>
            <w:tcMar>
              <w:top w:type="dxa" w:w="80"/>
              <w:left w:type="dxa" w:w="120"/>
              <w:bottom w:type="dxa" w:w="80"/>
              <w:right w:type="dxa" w:w="120"/>
            </w:tcMar>
          </w:tcPr>
          <w:p>
            <w:pPr>
              <w:spacing w:after="100" w:before="0"/>
              <w:jc w:val="left"/>
            </w:pPr>
            <w:r>
              <w:rPr>
                <w:rFonts w:ascii="Arial" w:cs="Arial" w:eastAsia="Arial" w:hAnsi="Arial"/>
                <w:b w:val="false"/>
                <w:bCs w:val="false"/>
                <w:i w:val="false"/>
                <w:iCs w:val="false"/>
                <w:color w:val="2A2A28"/>
                <w:sz w:val="20"/>
                <w:szCs w:val="20"/>
              </w:rPr>
              <w:t xml:space="preserve">Two-Year Total</w:t>
            </w:r>
          </w:p>
        </w:tc>
        <w:tc>
          <w:tcPr>
            <w:tcW w:type="dxa" w:w="3200"/>
            <w:tcBorders>
              <w:top w:val="single" w:color="C8C2B6" w:sz="1"/>
              <w:left w:val="single" w:color="C8C2B6" w:sz="1"/>
              <w:bottom w:val="single" w:color="C8C2B6" w:sz="1"/>
              <w:right w:val="single" w:color="C8C2B6" w:sz="1"/>
            </w:tcBorders>
            <w:shd w:fill="F2EFE9" w:val="clear"/>
            <w:tcMar>
              <w:top w:type="dxa" w:w="80"/>
              <w:left w:type="dxa" w:w="120"/>
              <w:bottom w:type="dxa" w:w="80"/>
              <w:right w:type="dxa" w:w="120"/>
            </w:tcMar>
          </w:tcPr>
          <w:p>
            <w:pPr>
              <w:spacing w:after="100" w:before="0"/>
              <w:jc w:val="left"/>
            </w:pPr>
            <w:r>
              <w:rPr>
                <w:rFonts w:ascii="Arial" w:cs="Arial" w:eastAsia="Arial" w:hAnsi="Arial"/>
                <w:b/>
                <w:bCs/>
                <w:i w:val="false"/>
                <w:iCs w:val="false"/>
                <w:color w:val="2A2A28"/>
                <w:sz w:val="20"/>
                <w:szCs w:val="20"/>
              </w:rPr>
              <w:t xml:space="preserve">$48,000</w:t>
            </w:r>
          </w:p>
        </w:tc>
      </w:tr>
    </w:tbl>
    <w:p>
      <w:pPr>
        <w:spacing w:after="80" w:before="0"/>
        <w:jc w:val="left"/>
      </w:pPr>
      <w:r>
        <w:rPr>
          <w:rFonts w:ascii="Arial" w:cs="Arial" w:eastAsia="Arial" w:hAnsi="Arial"/>
          <w:b w:val="false"/>
          <w:bCs w:val="false"/>
          <w:i w:val="false"/>
          <w:iCs w:val="false"/>
          <w:color w:val="2A2A28"/>
          <w:sz w:val="22"/>
          <w:szCs w:val="22"/>
        </w:rPr>
        <w:t xml:space="preserve"/>
      </w:r>
    </w:p>
    <w:p>
      <w:pPr>
        <w:pStyle w:val="Heading2"/>
        <w:spacing w:after="120" w:before="360"/>
      </w:pPr>
      <w:r>
        <w:rPr>
          <w:rFonts w:ascii="Arial" w:cs="Arial" w:eastAsia="Arial" w:hAnsi="Arial"/>
          <w:b/>
          <w:bCs/>
          <w:color w:val="3D5040"/>
          <w:sz w:val="24"/>
          <w:szCs w:val="24"/>
        </w:rPr>
        <w:t xml:space="preserve">Package C — Organizational Capacity ($8,000–$12,000, technical assistance)</w:t>
      </w:r>
    </w:p>
    <w:p>
      <w:pPr>
        <w:spacing w:after="110" w:before="0"/>
        <w:jc w:val="left"/>
      </w:pPr>
      <w:r>
        <w:rPr>
          <w:rFonts w:ascii="Arial" w:cs="Arial" w:eastAsia="Arial" w:hAnsi="Arial"/>
          <w:b w:val="false"/>
          <w:bCs w:val="false"/>
          <w:i w:val="false"/>
          <w:iCs w:val="false"/>
          <w:color w:val="2A2A28"/>
          <w:sz w:val="22"/>
          <w:szCs w:val="22"/>
        </w:rPr>
        <w:t xml:space="preserve">For capacity-focused funders: nonprofit-formation counsel, fundraising-systems setup, board development, and financial-controls consulting — strengthening a young organization’s spine so program dollars land well. Scoped to the funder’s TA guidelines.</w:t>
      </w:r>
    </w:p>
    <w:p>
      <w:pPr>
        <w:spacing w:after="80" w:before="0"/>
        <w:jc w:val="left"/>
      </w:pPr>
      <w:r>
        <w:rPr>
          <w:rFonts w:ascii="Arial" w:cs="Arial" w:eastAsia="Arial" w:hAnsi="Arial"/>
          <w:b w:val="false"/>
          <w:bCs w:val="false"/>
          <w:i w:val="false"/>
          <w:iCs w:val="false"/>
          <w:color w:val="2A2A28"/>
          <w:sz w:val="22"/>
          <w:szCs w:val="22"/>
        </w:rPr>
        <w:t xml:space="preserve"/>
      </w:r>
    </w:p>
    <w:p>
      <w:pPr>
        <w:pStyle w:val="Heading2"/>
        <w:spacing w:after="120" w:before="360"/>
      </w:pPr>
      <w:r>
        <w:rPr>
          <w:rFonts w:ascii="Arial" w:cs="Arial" w:eastAsia="Arial" w:hAnsi="Arial"/>
          <w:b/>
          <w:bCs/>
          <w:color w:val="3D5040"/>
          <w:sz w:val="24"/>
          <w:szCs w:val="24"/>
        </w:rPr>
        <w:t xml:space="preserve">Package D — Connect: Rural Access Pilot ($15,000–$25,000, one year, 2028 horizon)</w:t>
      </w:r>
    </w:p>
    <w:p>
      <w:pPr>
        <w:spacing w:after="110" w:before="0"/>
        <w:jc w:val="left"/>
      </w:pPr>
      <w:r>
        <w:rPr>
          <w:rFonts w:ascii="Arial" w:cs="Arial" w:eastAsia="Arial" w:hAnsi="Arial"/>
          <w:b w:val="false"/>
          <w:bCs w:val="false"/>
          <w:i w:val="false"/>
          <w:iCs w:val="false"/>
          <w:color w:val="2A2A28"/>
          <w:sz w:val="22"/>
          <w:szCs w:val="22"/>
        </w:rPr>
        <w:t xml:space="preserve">For infrastructure- and access-focused funders, once the platform’s first town is saturated: public access points at libraries and community centers in one rural partner town — single-board-computer kits in enclosures designed and fabricated by Central Oregon students through our college and makerspace partnerships, deployed with a local cooperative partner, maintained through our paid internship program, and reported publicly like everything else we do. Scope and budget are finalized with the deployment partner; the package exists now so infrastructure funders can see where the mission goes.</w:t>
      </w:r>
    </w:p>
    <w:p>
      <w:pPr>
        <w:pStyle w:val="Heading1"/>
        <w:pBdr>
          <w:bottom w:val="single" w:color="3D5040" w:sz="6" w:space="5"/>
        </w:pBdr>
        <w:spacing w:after="170" w:before="540"/>
      </w:pPr>
      <w:r>
        <w:rPr>
          <w:rFonts w:ascii="Arial" w:cs="Arial" w:eastAsia="Arial" w:hAnsi="Arial"/>
          <w:b/>
          <w:bCs/>
          <w:color w:val="3D5040"/>
          <w:sz w:val="31"/>
          <w:szCs w:val="31"/>
        </w:rPr>
        <w:t xml:space="preserve">06 — Outcomes &amp; How We Measure</w:t>
      </w:r>
    </w:p>
    <w:p>
      <w:pPr>
        <w:pStyle w:val="ListParagraph"/>
        <w:numPr>
          <w:ilvl w:val="0"/>
          <w:numId w:val="2"/>
        </w:numPr>
        <w:spacing w:after="70" w:before="0"/>
      </w:pPr>
      <w:r>
        <w:rPr>
          <w:rFonts w:ascii="Arial" w:cs="Arial" w:eastAsia="Arial" w:hAnsi="Arial"/>
          <w:b/>
          <w:bCs/>
          <w:i w:val="false"/>
          <w:iCs w:val="false"/>
          <w:color w:val="2A2A28"/>
          <w:sz w:val="22"/>
          <w:szCs w:val="22"/>
        </w:rPr>
        <w:t xml:space="preserve">Membership &amp; reach</w:t>
      </w:r>
      <w:r>
        <w:rPr>
          <w:rFonts w:ascii="Arial" w:cs="Arial" w:eastAsia="Arial" w:hAnsi="Arial"/>
          <w:b w:val="false"/>
          <w:bCs w:val="false"/>
          <w:i w:val="false"/>
          <w:iCs w:val="false"/>
          <w:color w:val="2A2A28"/>
          <w:sz w:val="22"/>
          <w:szCs w:val="22"/>
        </w:rPr>
        <w:t xml:space="preserve"> — verified members (targets: 100 by end of 2026; 200 — roughly 0.5% of Redmond — by mid-2027); neighborhoods active; bilingual usage rates</w:t>
      </w:r>
    </w:p>
    <w:p>
      <w:pPr>
        <w:pStyle w:val="ListParagraph"/>
        <w:numPr>
          <w:ilvl w:val="0"/>
          <w:numId w:val="2"/>
        </w:numPr>
        <w:spacing w:after="70" w:before="0"/>
      </w:pPr>
      <w:r>
        <w:rPr>
          <w:rFonts w:ascii="Arial" w:cs="Arial" w:eastAsia="Arial" w:hAnsi="Arial"/>
          <w:b/>
          <w:bCs/>
          <w:i w:val="false"/>
          <w:iCs w:val="false"/>
          <w:color w:val="2A2A28"/>
          <w:sz w:val="22"/>
          <w:szCs w:val="22"/>
        </w:rPr>
        <w:t xml:space="preserve">Civic participation</w:t>
      </w:r>
      <w:r>
        <w:rPr>
          <w:rFonts w:ascii="Arial" w:cs="Arial" w:eastAsia="Arial" w:hAnsi="Arial"/>
          <w:b w:val="false"/>
          <w:bCs w:val="false"/>
          <w:i w:val="false"/>
          <w:iCs w:val="false"/>
          <w:color w:val="2A2A28"/>
          <w:sz w:val="22"/>
          <w:szCs w:val="22"/>
        </w:rPr>
        <w:t xml:space="preserve"> — governance votes held and turnout; community proposals submitted; events posted and attended</w:t>
      </w:r>
    </w:p>
    <w:p>
      <w:pPr>
        <w:pStyle w:val="ListParagraph"/>
        <w:numPr>
          <w:ilvl w:val="0"/>
          <w:numId w:val="2"/>
        </w:numPr>
        <w:spacing w:after="70" w:before="0"/>
      </w:pPr>
      <w:r>
        <w:rPr>
          <w:rFonts w:ascii="Arial" w:cs="Arial" w:eastAsia="Arial" w:hAnsi="Arial"/>
          <w:b/>
          <w:bCs/>
          <w:i w:val="false"/>
          <w:iCs w:val="false"/>
          <w:color w:val="2A2A28"/>
          <w:sz w:val="22"/>
          <w:szCs w:val="22"/>
        </w:rPr>
        <w:t xml:space="preserve">Trust &amp; fairness</w:t>
      </w:r>
      <w:r>
        <w:rPr>
          <w:rFonts w:ascii="Arial" w:cs="Arial" w:eastAsia="Arial" w:hAnsi="Arial"/>
          <w:b w:val="false"/>
          <w:bCs w:val="false"/>
          <w:i w:val="false"/>
          <w:iCs w:val="false"/>
          <w:color w:val="2A2A28"/>
          <w:sz w:val="22"/>
          <w:szCs w:val="22"/>
        </w:rPr>
        <w:t xml:space="preserve"> — appeal rate vs. quiet-exit rate (our earliest health signal); moderation actions and outcomes published quarterly; transparency reports delivered on schedule</w:t>
      </w:r>
    </w:p>
    <w:p>
      <w:pPr>
        <w:pStyle w:val="ListParagraph"/>
        <w:numPr>
          <w:ilvl w:val="0"/>
          <w:numId w:val="2"/>
        </w:numPr>
        <w:spacing w:after="70" w:before="0"/>
      </w:pPr>
      <w:r>
        <w:rPr>
          <w:rFonts w:ascii="Arial" w:cs="Arial" w:eastAsia="Arial" w:hAnsi="Arial"/>
          <w:b/>
          <w:bCs/>
          <w:i w:val="false"/>
          <w:iCs w:val="false"/>
          <w:color w:val="2A2A28"/>
          <w:sz w:val="22"/>
          <w:szCs w:val="22"/>
        </w:rPr>
        <w:t xml:space="preserve">Rural &amp; bilingual access</w:t>
      </w:r>
      <w:r>
        <w:rPr>
          <w:rFonts w:ascii="Arial" w:cs="Arial" w:eastAsia="Arial" w:hAnsi="Arial"/>
          <w:b w:val="false"/>
          <w:bCs w:val="false"/>
          <w:i w:val="false"/>
          <w:iCs w:val="false"/>
          <w:color w:val="2A2A28"/>
          <w:sz w:val="22"/>
          <w:szCs w:val="22"/>
        </w:rPr>
        <w:t xml:space="preserve"> — listening sessions completed per town; Spanish-language adoption in Madras-area outreach; verification accommodation cases resolved (PO box, non-standard documents)</w:t>
      </w:r>
    </w:p>
    <w:p>
      <w:pPr>
        <w:pStyle w:val="ListParagraph"/>
        <w:numPr>
          <w:ilvl w:val="0"/>
          <w:numId w:val="2"/>
        </w:numPr>
        <w:spacing w:after="70" w:before="0"/>
      </w:pPr>
      <w:r>
        <w:rPr>
          <w:rFonts w:ascii="Arial" w:cs="Arial" w:eastAsia="Arial" w:hAnsi="Arial"/>
          <w:b/>
          <w:bCs/>
          <w:i w:val="false"/>
          <w:iCs w:val="false"/>
          <w:color w:val="2A2A28"/>
          <w:sz w:val="22"/>
          <w:szCs w:val="22"/>
        </w:rPr>
        <w:t xml:space="preserve">Youth workforce (year two)</w:t>
      </w:r>
      <w:r>
        <w:rPr>
          <w:rFonts w:ascii="Arial" w:cs="Arial" w:eastAsia="Arial" w:hAnsi="Arial"/>
          <w:b w:val="false"/>
          <w:bCs w:val="false"/>
          <w:i w:val="false"/>
          <w:iCs w:val="false"/>
          <w:color w:val="2A2A28"/>
          <w:sz w:val="22"/>
          <w:szCs w:val="22"/>
        </w:rPr>
        <w:t xml:space="preserve"> — interns hired and paid; showcase delivered; post-internship placement</w:t>
      </w:r>
    </w:p>
    <w:p>
      <w:pPr>
        <w:spacing w:after="110" w:before="0"/>
        <w:jc w:val="left"/>
      </w:pPr>
      <w:r>
        <w:rPr>
          <w:rFonts w:ascii="Arial" w:cs="Arial" w:eastAsia="Arial" w:hAnsi="Arial"/>
          <w:b w:val="false"/>
          <w:bCs w:val="false"/>
          <w:i w:val="false"/>
          <w:iCs w:val="false"/>
          <w:color w:val="2A2A28"/>
          <w:sz w:val="22"/>
          <w:szCs w:val="22"/>
        </w:rPr>
        <w:t xml:space="preserve">Every measure above is already instrumented in the platform’s health dashboard or transparency-report pipeline — reporting to funders uses the same numbers the public sees, which is the point.</w:t>
      </w:r>
    </w:p>
    <w:p>
      <w:pPr>
        <w:pStyle w:val="Heading1"/>
        <w:pBdr>
          <w:bottom w:val="single" w:color="3D5040" w:sz="6" w:space="5"/>
        </w:pBdr>
        <w:spacing w:after="170" w:before="540"/>
      </w:pPr>
      <w:r>
        <w:rPr>
          <w:rFonts w:ascii="Arial" w:cs="Arial" w:eastAsia="Arial" w:hAnsi="Arial"/>
          <w:b/>
          <w:bCs/>
          <w:color w:val="3D5040"/>
          <w:sz w:val="31"/>
          <w:szCs w:val="31"/>
        </w:rPr>
        <w:t xml:space="preserve">07 — Organizational Credibility</w:t>
      </w:r>
    </w:p>
    <w:p>
      <w:pPr>
        <w:pStyle w:val="ListParagraph"/>
        <w:numPr>
          <w:ilvl w:val="0"/>
          <w:numId w:val="2"/>
        </w:numPr>
        <w:spacing w:after="70" w:before="0"/>
      </w:pPr>
      <w:r>
        <w:rPr>
          <w:rFonts w:ascii="Arial" w:cs="Arial" w:eastAsia="Arial" w:hAnsi="Arial"/>
          <w:b/>
          <w:bCs/>
          <w:i w:val="false"/>
          <w:iCs w:val="false"/>
          <w:color w:val="2A2A28"/>
          <w:sz w:val="22"/>
          <w:szCs w:val="22"/>
        </w:rPr>
        <w:t xml:space="preserve">Governance</w:t>
      </w:r>
      <w:r>
        <w:rPr>
          <w:rFonts w:ascii="Arial" w:cs="Arial" w:eastAsia="Arial" w:hAnsi="Arial"/>
          <w:b w:val="false"/>
          <w:bCs w:val="false"/>
          <w:i w:val="false"/>
          <w:iCs w:val="false"/>
          <w:color w:val="2A2A28"/>
          <w:sz w:val="22"/>
          <w:szCs w:val="22"/>
        </w:rPr>
        <w:t xml:space="preserve"> — a published Governance Charter; member voting enforced at the database layer with secret ballots and an unforgeable audit log; a full security audit completed before launch</w:t>
      </w:r>
    </w:p>
    <w:p>
      <w:pPr>
        <w:pStyle w:val="ListParagraph"/>
        <w:numPr>
          <w:ilvl w:val="0"/>
          <w:numId w:val="2"/>
        </w:numPr>
        <w:spacing w:after="70" w:before="0"/>
      </w:pPr>
      <w:r>
        <w:rPr>
          <w:rFonts w:ascii="Arial" w:cs="Arial" w:eastAsia="Arial" w:hAnsi="Arial"/>
          <w:b/>
          <w:bCs/>
          <w:i w:val="false"/>
          <w:iCs w:val="false"/>
          <w:color w:val="2A2A28"/>
          <w:sz w:val="22"/>
          <w:szCs w:val="22"/>
        </w:rPr>
        <w:t xml:space="preserve">Board</w:t>
      </w:r>
      <w:r>
        <w:rPr>
          <w:rFonts w:ascii="Arial" w:cs="Arial" w:eastAsia="Arial" w:hAnsi="Arial"/>
          <w:b w:val="false"/>
          <w:bCs w:val="false"/>
          <w:i w:val="false"/>
          <w:iCs w:val="false"/>
          <w:color w:val="2A2A28"/>
          <w:sz w:val="22"/>
          <w:szCs w:val="22"/>
        </w:rPr>
        <w:t xml:space="preserve"> — three founding directors — two rooted in Redmond civic and business life (the founder of Redmond Compass; the owner of Herringbone Books) — majority-independent, with a conflict-of-interest policy from the first meeting and member-elected seats mandated within 24 months</w:t>
      </w:r>
    </w:p>
    <w:p>
      <w:pPr>
        <w:pStyle w:val="ListParagraph"/>
        <w:numPr>
          <w:ilvl w:val="0"/>
          <w:numId w:val="2"/>
        </w:numPr>
        <w:spacing w:after="70" w:before="0"/>
      </w:pPr>
      <w:r>
        <w:rPr>
          <w:rFonts w:ascii="Arial" w:cs="Arial" w:eastAsia="Arial" w:hAnsi="Arial"/>
          <w:b/>
          <w:bCs/>
          <w:i w:val="false"/>
          <w:iCs w:val="false"/>
          <w:color w:val="2A2A28"/>
          <w:sz w:val="22"/>
          <w:szCs w:val="22"/>
        </w:rPr>
        <w:t xml:space="preserve">Leadership</w:t>
      </w:r>
      <w:r>
        <w:rPr>
          <w:rFonts w:ascii="Arial" w:cs="Arial" w:eastAsia="Arial" w:hAnsi="Arial"/>
          <w:b w:val="false"/>
          <w:bCs w:val="false"/>
          <w:i w:val="false"/>
          <w:iCs w:val="false"/>
          <w:color w:val="2A2A28"/>
          <w:sz w:val="22"/>
          <w:szCs w:val="22"/>
        </w:rPr>
        <w:t xml:space="preserve"> — founding Executive Director [GREG CHISM — one-line bio: university faculty member and civic-technology builder], serving under a board-set, publicly disclosed, deliberately below-market compensation framework</w:t>
      </w:r>
    </w:p>
    <w:p>
      <w:pPr>
        <w:pStyle w:val="ListParagraph"/>
        <w:numPr>
          <w:ilvl w:val="0"/>
          <w:numId w:val="2"/>
        </w:numPr>
        <w:spacing w:after="70" w:before="0"/>
      </w:pPr>
      <w:r>
        <w:rPr>
          <w:rFonts w:ascii="Arial" w:cs="Arial" w:eastAsia="Arial" w:hAnsi="Arial"/>
          <w:b/>
          <w:bCs/>
          <w:i w:val="false"/>
          <w:iCs w:val="false"/>
          <w:color w:val="2A2A28"/>
          <w:sz w:val="22"/>
          <w:szCs w:val="22"/>
        </w:rPr>
        <w:t xml:space="preserve">Partnership</w:t>
      </w:r>
      <w:r>
        <w:rPr>
          <w:rFonts w:ascii="Arial" w:cs="Arial" w:eastAsia="Arial" w:hAnsi="Arial"/>
          <w:b w:val="false"/>
          <w:bCs w:val="false"/>
          <w:i w:val="false"/>
          <w:iCs w:val="false"/>
          <w:color w:val="2A2A28"/>
          <w:sz w:val="22"/>
          <w:szCs w:val="22"/>
        </w:rPr>
        <w:t xml:space="preserve"> — Redmond Compass as launch partner for community information and the local exchange; developing partnerships with Connect Central Oregon (regional capacity and volunteer network), the Oregon Broadband Equity Coalition (statewide digital-equity network), and the outward-facing units of OSU-Cascades and COCC for internships, makerspace fabrication, and the regional data-literacy bridge</w:t>
      </w:r>
    </w:p>
    <w:p>
      <w:pPr>
        <w:pStyle w:val="ListParagraph"/>
        <w:numPr>
          <w:ilvl w:val="0"/>
          <w:numId w:val="2"/>
        </w:numPr>
        <w:spacing w:after="70" w:before="0"/>
      </w:pPr>
      <w:r>
        <w:rPr>
          <w:rFonts w:ascii="Arial" w:cs="Arial" w:eastAsia="Arial" w:hAnsi="Arial"/>
          <w:b/>
          <w:bCs/>
          <w:i w:val="false"/>
          <w:iCs w:val="false"/>
          <w:color w:val="2A2A28"/>
          <w:sz w:val="22"/>
          <w:szCs w:val="22"/>
        </w:rPr>
        <w:t xml:space="preserve">Status</w:t>
      </w:r>
      <w:r>
        <w:rPr>
          <w:rFonts w:ascii="Arial" w:cs="Arial" w:eastAsia="Arial" w:hAnsi="Arial"/>
          <w:b w:val="false"/>
          <w:bCs w:val="false"/>
          <w:i w:val="false"/>
          <w:iCs w:val="false"/>
          <w:color w:val="2A2A28"/>
          <w:sz w:val="22"/>
          <w:szCs w:val="22"/>
        </w:rPr>
        <w:t xml:space="preserve"> — Oregon public benefit nonprofit corporation (formed 2026); federal tax-exemption application filed [DATE]; fiscally sponsored by [SPONSOR NAME, EIN] pending determination; registered with the Oregon DOJ Charitable Activities Section</w:t>
      </w:r>
    </w:p>
    <w:p>
      <w:pPr>
        <w:pStyle w:val="Heading1"/>
        <w:pBdr>
          <w:bottom w:val="single" w:color="3D5040" w:sz="6" w:space="5"/>
        </w:pBdr>
        <w:spacing w:after="170" w:before="540"/>
      </w:pPr>
      <w:r>
        <w:rPr>
          <w:rFonts w:ascii="Arial" w:cs="Arial" w:eastAsia="Arial" w:hAnsi="Arial"/>
          <w:b/>
          <w:bCs/>
          <w:color w:val="3D5040"/>
          <w:sz w:val="31"/>
          <w:szCs w:val="31"/>
        </w:rPr>
        <w:t xml:space="preserve">08 — Financial Model &amp; Sustainability</w:t>
      </w:r>
    </w:p>
    <w:p>
      <w:pPr>
        <w:spacing w:after="110" w:before="0"/>
        <w:jc w:val="left"/>
      </w:pPr>
      <w:r>
        <w:rPr>
          <w:rFonts w:ascii="Arial" w:cs="Arial" w:eastAsia="Arial" w:hAnsi="Arial"/>
          <w:b w:val="false"/>
          <w:bCs w:val="false"/>
          <w:i w:val="false"/>
          <w:iCs w:val="false"/>
          <w:color w:val="2A2A28"/>
          <w:sz w:val="22"/>
          <w:szCs w:val="22"/>
        </w:rPr>
        <w:t xml:space="preserve">High Desert is built so that no funder — public or private — ever becomes a dependency. Member dues of $2 a month fund core operations permanently: at 500 members, operations are covered; at 1,000, comfortably. Grant funding is additive by rule — it builds capacity and expansion, never keeps the lights on. No single funder may exceed 30% of annual revenue, no funding is accepted whose conditions touch the founding commitments, and every grant and its conditions are published in the quarterly transparency report. Surplus beyond operations flows to local charities chosen each year by ranked-choice member vote. Funders are not asked to sustain High Desert; they are asked to extend what a self-sustaining commons can reach.</w:t>
      </w:r>
    </w:p>
    <w:p>
      <w:pPr>
        <w:pStyle w:val="Heading1"/>
        <w:pBdr>
          <w:bottom w:val="single" w:color="3D5040" w:sz="6" w:space="5"/>
        </w:pBdr>
        <w:spacing w:after="170" w:before="540"/>
      </w:pPr>
      <w:r>
        <w:rPr>
          <w:rFonts w:ascii="Arial" w:cs="Arial" w:eastAsia="Arial" w:hAnsi="Arial"/>
          <w:b/>
          <w:bCs/>
          <w:color w:val="3D5040"/>
          <w:sz w:val="31"/>
          <w:szCs w:val="31"/>
        </w:rPr>
        <w:t xml:space="preserve">09 — Boilerplate (lift as needed)</w:t>
      </w:r>
    </w:p>
    <w:p>
      <w:pPr>
        <w:pStyle w:val="Heading3"/>
        <w:spacing w:after="80" w:before="240"/>
      </w:pPr>
      <w:r>
        <w:rPr>
          <w:rFonts w:ascii="Arial" w:cs="Arial" w:eastAsia="Arial" w:hAnsi="Arial"/>
          <w:b/>
          <w:bCs/>
          <w:color w:val="55504A"/>
          <w:sz w:val="22"/>
          <w:szCs w:val="22"/>
        </w:rPr>
        <w:t xml:space="preserve">One sentence</w:t>
      </w:r>
    </w:p>
    <w:p>
      <w:pPr>
        <w:spacing w:after="110" w:before="0"/>
        <w:jc w:val="left"/>
      </w:pPr>
      <w:r>
        <w:rPr>
          <w:rFonts w:ascii="Arial" w:cs="Arial" w:eastAsia="Arial" w:hAnsi="Arial"/>
          <w:b w:val="false"/>
          <w:bCs w:val="false"/>
          <w:i w:val="false"/>
          <w:iCs w:val="false"/>
          <w:color w:val="2A2A28"/>
          <w:sz w:val="22"/>
          <w:szCs w:val="22"/>
        </w:rPr>
        <w:t xml:space="preserve">High Desert is a community-owned, ad-free, member-governed digital platform for the towns of Central Oregon, launching in Redmond in 2026.</w:t>
      </w:r>
    </w:p>
    <w:p>
      <w:pPr>
        <w:pStyle w:val="Heading3"/>
        <w:spacing w:after="80" w:before="240"/>
      </w:pPr>
      <w:r>
        <w:rPr>
          <w:rFonts w:ascii="Arial" w:cs="Arial" w:eastAsia="Arial" w:hAnsi="Arial"/>
          <w:b/>
          <w:bCs/>
          <w:color w:val="55504A"/>
          <w:sz w:val="22"/>
          <w:szCs w:val="22"/>
        </w:rPr>
        <w:t xml:space="preserve">Short (≈60 words)</w:t>
      </w:r>
    </w:p>
    <w:p>
      <w:pPr>
        <w:spacing w:after="110" w:before="0"/>
        <w:jc w:val="left"/>
      </w:pPr>
      <w:r>
        <w:rPr>
          <w:rFonts w:ascii="Arial" w:cs="Arial" w:eastAsia="Arial" w:hAnsi="Arial"/>
          <w:b w:val="false"/>
          <w:bCs w:val="false"/>
          <w:i w:val="false"/>
          <w:iCs w:val="false"/>
          <w:color w:val="2A2A28"/>
          <w:sz w:val="22"/>
          <w:szCs w:val="22"/>
        </w:rPr>
        <w:t xml:space="preserve">High Desert is community-owned digital infrastructure for Central Oregon: a verified, ad-free platform where neighbors share events, needs, and decisions — governed by member vote, funded by $2-a-month dues, and structured as an Oregon nonprofit that can never be sold or run advertising. It launches in Redmond in late 2026 and is capped by charter at twelve communities.</w:t>
      </w:r>
    </w:p>
    <w:p>
      <w:pPr>
        <w:pStyle w:val="Heading3"/>
        <w:spacing w:after="80" w:before="240"/>
      </w:pPr>
      <w:r>
        <w:rPr>
          <w:rFonts w:ascii="Arial" w:cs="Arial" w:eastAsia="Arial" w:hAnsi="Arial"/>
          <w:b/>
          <w:bCs/>
          <w:color w:val="55504A"/>
          <w:sz w:val="22"/>
          <w:szCs w:val="22"/>
        </w:rPr>
        <w:t xml:space="preserve">Medium (≈120 words)</w:t>
      </w:r>
    </w:p>
    <w:p>
      <w:pPr>
        <w:spacing w:after="110" w:before="0"/>
        <w:jc w:val="left"/>
      </w:pPr>
      <w:r>
        <w:rPr>
          <w:rFonts w:ascii="Arial" w:cs="Arial" w:eastAsia="Arial" w:hAnsi="Arial"/>
          <w:b w:val="false"/>
          <w:bCs w:val="false"/>
          <w:i w:val="false"/>
          <w:iCs w:val="false"/>
          <w:color w:val="2A2A28"/>
          <w:sz w:val="22"/>
          <w:szCs w:val="22"/>
        </w:rPr>
        <w:t xml:space="preserve">High Desert is a member-governed Oregon nonprofit building community-owned digital infrastructure for the towns of Central Oregon. Residents verify their local address, pay $2 a month, and receive a calm, chronological platform for neighborhood events, mutual exchange, and community decisions — with secret-ballot member voting, due-process moderation, full Spanish-language access, and quarterly public transparency reports. Its founding commitments — no advertising ever, member-owned data, community control — are written into its articles of incorporation, and surplus revenue flows to local charities chosen by member vote. The platform is built and security-audited, launches in Redmond in late 2026 with Redmond Compass as community partner, and expands only by community petition and vote, capped at twelve towns.</w:t>
      </w:r>
    </w:p>
    <w:p>
      <w:pPr>
        <w:spacing w:after="240" w:before="0"/>
        <w:jc w:val="left"/>
      </w:pPr>
      <w:r>
        <w:rPr>
          <w:rFonts w:ascii="Arial" w:cs="Arial" w:eastAsia="Arial" w:hAnsi="Arial"/>
          <w:b w:val="false"/>
          <w:bCs w:val="false"/>
          <w:i w:val="false"/>
          <w:iCs w:val="false"/>
          <w:color w:val="2A2A28"/>
          <w:sz w:val="22"/>
          <w:szCs w:val="22"/>
        </w:rPr>
        <w:t xml:space="preserve"/>
      </w:r>
    </w:p>
    <w:p>
      <w:pPr>
        <w:pBdr>
          <w:top w:val="single" w:color="CCCCCC" w:sz="4" w:space="8"/>
        </w:pBdr>
        <w:spacing w:after="0" w:before="360"/>
        <w:jc w:val="center"/>
      </w:pPr>
      <w:r>
        <w:rPr>
          <w:rFonts w:ascii="Arial" w:cs="Arial" w:eastAsia="Arial" w:hAnsi="Arial"/>
          <w:color w:val="9A9080"/>
          <w:sz w:val="18"/>
          <w:szCs w:val="18"/>
        </w:rPr>
        <w:t xml:space="preserve">HIGH DESERT · Master Case for Support v1.2 · June 2026</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6"/>
      </w:pBdr>
      <w:jc w:val="center"/>
    </w:pPr>
    <w:r>
      <w:rPr>
        <w:rFonts w:ascii="Arial" w:cs="Arial" w:eastAsia="Arial" w:hAnsi="Arial"/>
        <w:color w:val="9A9080"/>
        <w:sz w:val="16"/>
        <w:szCs w:val="16"/>
      </w:rPr>
      <w:t xml:space="preserve">High Desert · Master Case for Support v1.2 · June 2026  ·  Page </w:t>
    </w:r>
    <w:r>
      <w:rPr>
        <w:rFonts w:ascii="Arial" w:cs="Arial" w:eastAsia="Arial" w:hAnsi="Arial"/>
        <w:color w:val="9A9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70" w:before="540"/>
      <w:outlineLvl w:val="0"/>
    </w:pPr>
    <w:rPr>
      <w:rFonts w:ascii="Arial" w:cs="Arial" w:eastAsia="Arial" w:hAnsi="Arial"/>
      <w:b/>
      <w:bCs/>
      <w:color w:val="3D5040"/>
      <w:sz w:val="31"/>
      <w:szCs w:val="31"/>
    </w:rPr>
  </w:style>
  <w:style w:type="paragraph" w:styleId="Heading2">
    <w:name w:val="Heading 2"/>
    <w:basedOn w:val="Normal"/>
    <w:next w:val="Normal"/>
    <w:qFormat/>
    <w:pPr>
      <w:spacing w:after="120" w:before="360"/>
      <w:outlineLvl w:val="1"/>
    </w:pPr>
    <w:rPr>
      <w:rFonts w:ascii="Arial" w:cs="Arial" w:eastAsia="Arial" w:hAnsi="Arial"/>
      <w:b/>
      <w:bCs/>
      <w:color w:val="3D5040"/>
      <w:sz w:val="24"/>
      <w:szCs w:val="24"/>
    </w:rPr>
  </w:style>
  <w:style w:type="paragraph" w:styleId="Heading3">
    <w:name w:val="Heading 3"/>
    <w:basedOn w:val="Normal"/>
    <w:next w:val="Normal"/>
    <w:qFormat/>
    <w:pPr>
      <w:spacing w:after="80" w:before="240"/>
      <w:outlineLvl w:val="2"/>
    </w:pPr>
    <w:rPr>
      <w:rFonts w:ascii="Arial" w:cs="Arial" w:eastAsia="Arial" w:hAnsi="Arial"/>
      <w:b/>
      <w:bCs/>
      <w:color w:val="55504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2026-06-11T15:46:59.186Z</dcterms:created>
  <dcterms:modified xsi:type="dcterms:W3CDTF">2026-06-11T15:46:59.187Z</dcterms:modified>
</cp:coreProperties>
</file>

<file path=docProps/custom.xml><?xml version="1.0" encoding="utf-8"?>
<Properties xmlns="http://schemas.openxmlformats.org/officeDocument/2006/custom-properties" xmlns:vt="http://schemas.openxmlformats.org/officeDocument/2006/docPropsVTypes"/>
</file>