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40"/>
      </w:pPr>
      <w:r>
        <w:rPr>
          <w:rFonts w:ascii="Arial" w:cs="Arial" w:eastAsia="Arial" w:hAnsi="Arial"/>
          <w:b/>
          <w:bCs/>
          <w:color w:val="3D5040"/>
          <w:sz w:val="72"/>
          <w:szCs w:val="72"/>
        </w:rPr>
        <w:t xml:space="preserve">STEPPE</w:t>
      </w:r>
    </w:p>
    <w:p>
      <w:pPr>
        <w:spacing w:after="40" w:before="0"/>
      </w:pPr>
      <w:r>
        <w:rPr>
          <w:rFonts w:ascii="Arial" w:cs="Arial" w:eastAsia="Arial" w:hAnsi="Arial"/>
          <w:i/>
          <w:iCs/>
          <w:color w:val="6B8F6E"/>
          <w:sz w:val="27"/>
          <w:szCs w:val="27"/>
        </w:rPr>
        <w:t xml:space="preserve">A high desert civic commons — digital civic infrastructure, Redmond first, Central Oregon by design</w:t>
      </w:r>
    </w:p>
    <w:p>
      <w:pPr>
        <w:pBdr>
          <w:bottom w:val="single" w:color="B5541F" w:sz="16" w:space="2"/>
        </w:pBdr>
        <w:spacing w:after="260" w:before="0"/>
      </w:pPr>
      <w:r>
        <w:rPr>
          <w:rFonts w:ascii="Arial" w:cs="Arial" w:eastAsia="Arial" w:hAnsi="Arial"/>
          <w:b w:val="false"/>
          <w:bCs w:val="false"/>
          <w:i w:val="false"/>
          <w:iCs w:val="false"/>
          <w:color w:val="2A2A28"/>
          <w:sz w:val="22"/>
          <w:szCs w:val="22"/>
        </w:rPr>
        <w:t xml:space="preserve"/>
      </w:r>
    </w:p>
    <w:p>
      <w:pPr>
        <w:spacing w:after="40" w:before="140"/>
      </w:pPr>
      <w:r>
        <w:rPr>
          <w:rFonts w:ascii="Arial" w:cs="Arial" w:eastAsia="Arial" w:hAnsi="Arial"/>
          <w:b/>
          <w:bCs/>
          <w:color w:val="55504A"/>
          <w:sz w:val="22"/>
          <w:szCs w:val="22"/>
        </w:rPr>
        <w:t xml:space="preserve">Business Plan — v12</w:t>
      </w:r>
    </w:p>
    <w:p>
      <w:pPr>
        <w:spacing w:after="40" w:before="0"/>
      </w:pPr>
      <w:r>
        <w:rPr>
          <w:rFonts w:ascii="Arial" w:cs="Arial" w:eastAsia="Arial" w:hAnsi="Arial"/>
          <w:color w:val="55504A"/>
          <w:sz w:val="20"/>
          <w:szCs w:val="20"/>
        </w:rPr>
        <w:t xml:space="preserve">June 2026 · Living Document · Supersedes v11</w:t>
      </w:r>
    </w:p>
    <w:p>
      <w:pPr>
        <w:spacing w:after="200" w:before="0"/>
        <w:jc w:val="left"/>
      </w:pPr>
      <w:r>
        <w:rPr>
          <w:rFonts w:ascii="Arial" w:cs="Arial" w:eastAsia="Arial" w:hAnsi="Arial"/>
          <w:b w:val="false"/>
          <w:bCs w:val="false"/>
          <w:i w:val="false"/>
          <w:iCs w:val="false"/>
          <w:color w:val="2A2A28"/>
          <w:sz w:val="22"/>
          <w:szCs w:val="22"/>
        </w:rPr>
        <w:t xml:space="preserve"/>
      </w:r>
    </w:p>
    <w:p>
      <w:pPr>
        <w:pBdr>
          <w:left w:val="single" w:color="B5541F" w:sz="24" w:space="10"/>
        </w:pBdr>
        <w:spacing w:after="80" w:before="80"/>
      </w:pPr>
      <w:r>
        <w:rPr>
          <w:rFonts w:ascii="Arial" w:cs="Arial" w:eastAsia="Arial" w:hAnsi="Arial"/>
          <w:b/>
          <w:bCs/>
          <w:i/>
          <w:iCs/>
          <w:color w:val="2A2A28"/>
          <w:sz w:val="24"/>
          <w:szCs w:val="24"/>
        </w:rPr>
        <w:t xml:space="preserve">Community-owned, ad-free, and impossible to sell. The structure is the promise — and the promise is the product.</w:t>
      </w:r>
    </w:p>
    <w:p>
      <w:pPr>
        <w:spacing w:after="160" w:before="0"/>
        <w:jc w:val="left"/>
      </w:pPr>
      <w:r>
        <w:rPr>
          <w:rFonts w:ascii="Arial" w:cs="Arial" w:eastAsia="Arial" w:hAnsi="Arial"/>
          <w:b w:val="false"/>
          <w:bCs w:val="false"/>
          <w:i w:val="false"/>
          <w:iCs w:val="false"/>
          <w:color w:val="2A2A28"/>
          <w:sz w:val="22"/>
          <w:szCs w:val="22"/>
        </w:rPr>
        <w:t xml:space="preserve"/>
      </w:r>
    </w:p>
    <w:p>
      <w:pPr>
        <w:spacing w:after="110" w:before="0"/>
        <w:jc w:val="left"/>
      </w:pPr>
      <w:r>
        <w:rPr>
          <w:rFonts w:ascii="Arial" w:cs="Arial" w:eastAsia="Arial" w:hAnsi="Arial"/>
          <w:b w:val="false"/>
          <w:bCs w:val="false"/>
          <w:i w:val="false"/>
          <w:iCs w:val="false"/>
          <w:color w:val="2A2A28"/>
          <w:sz w:val="22"/>
          <w:szCs w:val="22"/>
        </w:rPr>
        <w:t xml:space="preserve">Steppe is a community-owned digital platform for the towns of Central Oregon — verified, ad-free, democratically governed, and built to outlast any founder or funding cycle. It launches in Redmond and is capped, by design, at twelve communities. Beyond the platform, Steppe Connect extends the mission to the access layer beneath it: rural connectivity, a tribal digital-sovereignty program built on complete tribal ownership, and partnerships with the region’s colleges and makerspaces. This plan describes what it is, how it is governed, how it is funded, and the order in which it is built. Its companion is the Steppe Governance Charter.</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00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Element</w:t>
            </w:r>
          </w:p>
        </w:tc>
        <w:tc>
          <w:tcPr>
            <w:tcW w:type="dxa" w:w="71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Summary</w:t>
            </w:r>
          </w:p>
        </w:tc>
      </w:tr>
      <w:tr>
        <w:tc>
          <w:tcPr>
            <w:tcW w:type="dxa" w:w="2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The problem</w:t>
            </w:r>
          </w:p>
        </w:tc>
        <w:tc>
          <w:tcPr>
            <w:tcW w:type="dxa" w:w="7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Central Oregon has no shared digital infrastructure its residents own or govern. Every platform serving the region is extractive, unverified, and unaccountable.</w:t>
            </w:r>
          </w:p>
        </w:tc>
      </w:tr>
      <w:tr>
        <w:tc>
          <w:tcPr>
            <w:tcW w:type="dxa" w:w="2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The solution</w:t>
            </w:r>
          </w:p>
        </w:tc>
        <w:tc>
          <w:tcPr>
            <w:tcW w:type="dxa" w:w="7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 verified, ad-free, member-governed platform — launched town by town beginning with Redmond, hard-capped at twelve communities.</w:t>
            </w:r>
          </w:p>
        </w:tc>
      </w:tr>
      <w:tr>
        <w:tc>
          <w:tcPr>
            <w:tcW w:type="dxa" w:w="2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Legal form</w:t>
            </w:r>
          </w:p>
        </w:tc>
        <w:tc>
          <w:tcPr>
            <w:tcW w:type="dxa" w:w="7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Oregon public benefit nonprofit corporation, member-governed, formed 2026. Mission entrenched in the articles; no owner, no shares, cannot be sold. 501(c)(3) recognition pursued from the start, exemption retroactive to formation.</w:t>
            </w:r>
          </w:p>
        </w:tc>
      </w:tr>
      <w:tr>
        <w:tc>
          <w:tcPr>
            <w:tcW w:type="dxa" w:w="2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Status (June 2026)</w:t>
            </w:r>
          </w:p>
        </w:tc>
        <w:tc>
          <w:tcPr>
            <w:tcW w:type="dxa" w:w="7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Built. Core platform complete: authentication, residency verification, events, governance voting, moderation, accessibility, Spanish localization, mobile, and a full database-level security audit. 35 Redmond neighborhoods seeded.</w:t>
            </w:r>
          </w:p>
        </w:tc>
      </w:tr>
      <w:tr>
        <w:tc>
          <w:tcPr>
            <w:tcW w:type="dxa" w:w="2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Leadership</w:t>
            </w:r>
          </w:p>
        </w:tc>
        <w:tc>
          <w:tcPr>
            <w:tcW w:type="dxa" w:w="7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Founder serves as paid Founding Executive Director — the durable, curatorial role that runs the platform — distinct from the board, secured by employment agreement rather than ownership. Founding board of three (Chism, Cobb, Weimer — invitation pending), majority-independent, transitioning to member-elected within 24 months.</w:t>
            </w:r>
          </w:p>
        </w:tc>
      </w:tr>
      <w:tr>
        <w:tc>
          <w:tcPr>
            <w:tcW w:type="dxa" w:w="2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Funding</w:t>
            </w:r>
          </w:p>
        </w:tc>
        <w:tc>
          <w:tcPr>
            <w:tcW w:type="dxa" w:w="7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Five diversified streams. Member dues ($4/mo flat, billed annually or by ACH) anchor core operations and always cover them alone. Tax-deductible donations, foundation grants, government programs, and modest earned revenue fund capacity and expansion. No single funder exceeds 30% of revenue; government funding is sequenced last and wrapped in radical transparency.</w:t>
            </w:r>
          </w:p>
        </w:tc>
      </w:tr>
      <w:tr>
        <w:tc>
          <w:tcPr>
            <w:tcW w:type="dxa" w:w="2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Beyond the platform</w:t>
            </w:r>
          </w:p>
        </w:tc>
        <w:tc>
          <w:tcPr>
            <w:tcW w:type="dxa" w:w="7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Steppe Connect (2027+): rural connectivity pilots, a Tribal Digital Sovereignty Program built on complete tribal ownership, and college/makerspace partnerships — pursued with established regional partners rather than alone. Anchor relationships: Connect Central Oregon (regional capacity, board pipeline), the Oregon Broadband Equity Coalition (the statewide digital-equity network), OSU-Cascades and COCC, and — on the tribal horizon, at their pace — the Warm Springs Community Action Team. Entirely grant-funded; never dues.</w:t>
            </w:r>
          </w:p>
        </w:tc>
      </w:tr>
      <w:tr>
        <w:tc>
          <w:tcPr>
            <w:tcW w:type="dxa" w:w="2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Why it survives</w:t>
            </w:r>
          </w:p>
        </w:tc>
        <w:tc>
          <w:tcPr>
            <w:tcW w:type="dxa" w:w="7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Anti-extraction is structural, not aspirational: no advertising, member control, and data ownership are written into the articles and bound by a dissolution clause. There is nothing left to a future conversion vote.</w:t>
            </w:r>
          </w:p>
        </w:tc>
      </w:tr>
      <w:tr>
        <w:tc>
          <w:tcPr>
            <w:tcW w:type="dxa" w:w="2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Timeline</w:t>
            </w:r>
          </w:p>
        </w:tc>
        <w:tc>
          <w:tcPr>
            <w:tcW w:type="dxa" w:w="7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Founder retains aligned academic income through launch and the sustainability-proof phase; full-time transition is gated on a demonstrated ED salary, never assumed. Incorporation + launch gates: 2026. Public Redmond launch: late 2026. Foundation grants: 2027. Government programs: 2028+.</w:t>
            </w:r>
          </w:p>
        </w:tc>
      </w:tr>
    </w:tbl>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01 — Principles</w:t>
      </w:r>
    </w:p>
    <w:p>
      <w:pPr>
        <w:spacing w:after="110" w:before="0"/>
        <w:jc w:val="left"/>
      </w:pPr>
      <w:r>
        <w:rPr>
          <w:rFonts w:ascii="Arial" w:cs="Arial" w:eastAsia="Arial" w:hAnsi="Arial"/>
          <w:b w:val="false"/>
          <w:bCs w:val="false"/>
          <w:i w:val="false"/>
          <w:iCs w:val="false"/>
          <w:color w:val="2A2A28"/>
          <w:sz w:val="22"/>
          <w:szCs w:val="22"/>
        </w:rPr>
        <w:t xml:space="preserve">Steppe is built on a small set of load-bearing principles. They are not slogans; each one is enforced somewhere concrete — in the articles of incorporation, in the governance rules, or in the database itself. Sources for each are credited in §13.</w:t>
      </w:r>
    </w:p>
    <w:p>
      <w:pPr>
        <w:spacing w:after="40" w:before="0"/>
        <w:jc w:val="left"/>
      </w:pPr>
      <w:r>
        <w:rPr>
          <w:rFonts w:ascii="Arial" w:cs="Arial" w:eastAsia="Arial" w:hAnsi="Arial"/>
          <w:b w:val="false"/>
          <w:bCs w:val="false"/>
          <w:i w:val="false"/>
          <w:iCs w:val="false"/>
          <w:color w:val="2A2A28"/>
          <w:sz w:val="22"/>
          <w:szCs w:val="22"/>
        </w:rPr>
        <w:t xml:space="preserve"/>
      </w:r>
    </w:p>
    <w:p>
      <w:pPr>
        <w:spacing w:after="40" w:before="220"/>
      </w:pPr>
      <w:r>
        <w:rPr>
          <w:rFonts w:ascii="Arial" w:cs="Arial" w:eastAsia="Arial" w:hAnsi="Arial"/>
          <w:b/>
          <w:bCs/>
          <w:color w:val="3D5040"/>
          <w:sz w:val="22"/>
          <w:szCs w:val="22"/>
        </w:rPr>
        <w:t xml:space="preserve">Anti-extraction by structure</w:t>
      </w:r>
    </w:p>
    <w:p>
      <w:pPr>
        <w:spacing w:after="90" w:before="0"/>
        <w:jc w:val="left"/>
      </w:pPr>
      <w:r>
        <w:rPr>
          <w:rFonts w:ascii="Arial" w:cs="Arial" w:eastAsia="Arial" w:hAnsi="Arial"/>
          <w:b w:val="false"/>
          <w:bCs w:val="false"/>
          <w:i w:val="false"/>
          <w:iCs w:val="false"/>
          <w:color w:val="2A2A28"/>
          <w:sz w:val="22"/>
          <w:szCs w:val="22"/>
        </w:rPr>
        <w:t xml:space="preserve">Platforms decay when advertising makes someone other than the member the customer. Steppe takes no advertising, ever. Members are the only customer; there is no engagement machine to optimize and no behavioral data to sell. The refusal is written into the articles of incorporation, not left to policy that a later decision could quietly reverse.</w:t>
      </w:r>
    </w:p>
    <w:p>
      <w:pPr>
        <w:spacing w:after="40" w:before="220"/>
      </w:pPr>
      <w:r>
        <w:rPr>
          <w:rFonts w:ascii="Arial" w:cs="Arial" w:eastAsia="Arial" w:hAnsi="Arial"/>
          <w:b/>
          <w:bCs/>
          <w:color w:val="3D5040"/>
          <w:sz w:val="22"/>
          <w:szCs w:val="22"/>
        </w:rPr>
        <w:t xml:space="preserve">Trust is a stock</w:t>
      </w:r>
    </w:p>
    <w:p>
      <w:pPr>
        <w:spacing w:after="90" w:before="0"/>
        <w:jc w:val="left"/>
      </w:pPr>
      <w:r>
        <w:rPr>
          <w:rFonts w:ascii="Arial" w:cs="Arial" w:eastAsia="Arial" w:hAnsi="Arial"/>
          <w:b w:val="false"/>
          <w:bCs w:val="false"/>
          <w:i w:val="false"/>
          <w:iCs w:val="false"/>
          <w:color w:val="2A2A28"/>
          <w:sz w:val="22"/>
          <w:szCs w:val="22"/>
        </w:rPr>
        <w:t xml:space="preserve">Community trust accumulates slowly and drains quickly. That asymmetry — not any single feature — is what makes governance consequential: a feature can be reversed, a trust collapse cannot. Every design choice is treated as a deposit to or withdrawal from that stock, and platform health is read through leading indicators rather than vanity metrics.</w:t>
      </w:r>
    </w:p>
    <w:p>
      <w:pPr>
        <w:spacing w:after="40" w:before="220"/>
      </w:pPr>
      <w:r>
        <w:rPr>
          <w:rFonts w:ascii="Arial" w:cs="Arial" w:eastAsia="Arial" w:hAnsi="Arial"/>
          <w:b/>
          <w:bCs/>
          <w:color w:val="3D5040"/>
          <w:sz w:val="22"/>
          <w:szCs w:val="22"/>
        </w:rPr>
        <w:t xml:space="preserve">A commons can be governed</w:t>
      </w:r>
    </w:p>
    <w:p>
      <w:pPr>
        <w:spacing w:after="90" w:before="0"/>
        <w:jc w:val="left"/>
      </w:pPr>
      <w:r>
        <w:rPr>
          <w:rFonts w:ascii="Arial" w:cs="Arial" w:eastAsia="Arial" w:hAnsi="Arial"/>
          <w:b w:val="false"/>
          <w:bCs w:val="false"/>
          <w:i w:val="false"/>
          <w:iCs w:val="false"/>
          <w:color w:val="2A2A28"/>
          <w:sz w:val="22"/>
          <w:szCs w:val="22"/>
        </w:rPr>
        <w:t xml:space="preserve">Shared resources need neither privatization nor top-down control; a community can govern them under well-understood design principles — clear boundaries, collective choice, monitoring, graduated sanctions, and conflict resolution. Steppe audits its governance against all eight of these principles and, wherever possible, enforces them in the database rather than promising them in policy.</w:t>
      </w:r>
    </w:p>
    <w:p>
      <w:pPr>
        <w:spacing w:after="40" w:before="220"/>
      </w:pPr>
      <w:r>
        <w:rPr>
          <w:rFonts w:ascii="Arial" w:cs="Arial" w:eastAsia="Arial" w:hAnsi="Arial"/>
          <w:b/>
          <w:bCs/>
          <w:color w:val="3D5040"/>
          <w:sz w:val="22"/>
          <w:szCs w:val="22"/>
        </w:rPr>
        <w:t xml:space="preserve">Legibility must serve the governed</w:t>
      </w:r>
    </w:p>
    <w:p>
      <w:pPr>
        <w:spacing w:after="90" w:before="0"/>
        <w:jc w:val="left"/>
      </w:pPr>
      <w:r>
        <w:rPr>
          <w:rFonts w:ascii="Arial" w:cs="Arial" w:eastAsia="Arial" w:hAnsi="Arial"/>
          <w:b w:val="false"/>
          <w:bCs w:val="false"/>
          <w:i w:val="false"/>
          <w:iCs w:val="false"/>
          <w:color w:val="2A2A28"/>
          <w:sz w:val="22"/>
          <w:szCs w:val="22"/>
        </w:rPr>
        <w:t xml:space="preserve">Systems that flatten local particularity to make it manageable tend to fail the people furthest from the center. Verification that cannot accommodate a PO box, a ranch family, or a Spanish-speaking resident is not neutral — it is exclusionary. Steppe uses multiple verification pathways, human review, and verify-then-forget evidence handling, so the tool preserves practical local knowledge instead of formalizing it away.</w:t>
      </w:r>
    </w:p>
    <w:p>
      <w:pPr>
        <w:spacing w:after="40" w:before="220"/>
      </w:pPr>
      <w:r>
        <w:rPr>
          <w:rFonts w:ascii="Arial" w:cs="Arial" w:eastAsia="Arial" w:hAnsi="Arial"/>
          <w:b/>
          <w:bCs/>
          <w:color w:val="3D5040"/>
          <w:sz w:val="22"/>
          <w:szCs w:val="22"/>
        </w:rPr>
        <w:t xml:space="preserve">Voice, not silent exit</w:t>
      </w:r>
    </w:p>
    <w:p>
      <w:pPr>
        <w:spacing w:after="90" w:before="0"/>
        <w:jc w:val="left"/>
      </w:pPr>
      <w:r>
        <w:rPr>
          <w:rFonts w:ascii="Arial" w:cs="Arial" w:eastAsia="Arial" w:hAnsi="Arial"/>
          <w:b w:val="false"/>
          <w:bCs w:val="false"/>
          <w:i w:val="false"/>
          <w:iCs w:val="false"/>
          <w:color w:val="2A2A28"/>
          <w:sz w:val="22"/>
          <w:szCs w:val="22"/>
        </w:rPr>
        <w:t xml:space="preserve">When speaking up is costly, people leave quietly and the institution learns nothing. Every governance mechanism — ban-then-appeal, the public transparency log, community override, the member vote — exists to make disagreement speak rather than disappear. The rate at which members leave, measured against the rate at which they appeal, is treated as an early-warning signal.</w:t>
      </w:r>
    </w:p>
    <w:p>
      <w:pPr>
        <w:spacing w:after="40" w:before="220"/>
      </w:pPr>
      <w:r>
        <w:rPr>
          <w:rFonts w:ascii="Arial" w:cs="Arial" w:eastAsia="Arial" w:hAnsi="Arial"/>
          <w:b/>
          <w:bCs/>
          <w:color w:val="3D5040"/>
          <w:sz w:val="22"/>
          <w:szCs w:val="22"/>
        </w:rPr>
        <w:t xml:space="preserve">Ownership structure is destiny</w:t>
      </w:r>
    </w:p>
    <w:p>
      <w:pPr>
        <w:spacing w:after="90" w:before="0"/>
        <w:jc w:val="left"/>
      </w:pPr>
      <w:r>
        <w:rPr>
          <w:rFonts w:ascii="Arial" w:cs="Arial" w:eastAsia="Arial" w:hAnsi="Arial"/>
          <w:b w:val="false"/>
          <w:bCs w:val="false"/>
          <w:i w:val="false"/>
          <w:iCs w:val="false"/>
          <w:color w:val="2A2A28"/>
          <w:sz w:val="22"/>
          <w:szCs w:val="22"/>
        </w:rPr>
        <w:t xml:space="preserve">What an organization can become is set by who is able to own it. A structure that can be sold will eventually face the temptation to sell, and “community-owned” is only real if it is legally true. Steppe forms as a member-governed nonprofit with no owner, its mission entrenched in the articles and its assets bound by a dissolution clause — the lock exists on day one, not at a future trigger.</w:t>
      </w:r>
    </w:p>
    <w:p>
      <w:pPr>
        <w:spacing w:after="40" w:before="220"/>
      </w:pPr>
      <w:r>
        <w:rPr>
          <w:rFonts w:ascii="Arial" w:cs="Arial" w:eastAsia="Arial" w:hAnsi="Arial"/>
          <w:b/>
          <w:bCs/>
          <w:color w:val="3D5040"/>
          <w:sz w:val="22"/>
          <w:szCs w:val="22"/>
        </w:rPr>
        <w:t xml:space="preserve">Convivial tools</w:t>
      </w:r>
    </w:p>
    <w:p>
      <w:pPr>
        <w:spacing w:after="90" w:before="0"/>
        <w:jc w:val="left"/>
      </w:pPr>
      <w:r>
        <w:rPr>
          <w:rFonts w:ascii="Arial" w:cs="Arial" w:eastAsia="Arial" w:hAnsi="Arial"/>
          <w:b w:val="false"/>
          <w:bCs w:val="false"/>
          <w:i w:val="false"/>
          <w:iCs w:val="false"/>
          <w:color w:val="2A2A28"/>
          <w:sz w:val="22"/>
          <w:szCs w:val="22"/>
        </w:rPr>
        <w:t xml:space="preserve">Infrastructure should be something its community can understand, use, repair, and govern — not a black box that restructures the people who depend on it. The legible codebase, the plain-language Terms, and the student-intern pipeline are this principle in practice: Steppe is built to be maintained by the community it serves.</w:t>
      </w:r>
    </w:p>
    <w:p>
      <w:pPr>
        <w:spacing w:after="40" w:before="220"/>
      </w:pPr>
      <w:r>
        <w:rPr>
          <w:rFonts w:ascii="Arial" w:cs="Arial" w:eastAsia="Arial" w:hAnsi="Arial"/>
          <w:b/>
          <w:bCs/>
          <w:color w:val="3D5040"/>
          <w:sz w:val="22"/>
          <w:szCs w:val="22"/>
        </w:rPr>
        <w:t xml:space="preserve">Design knowledge lives in patterns</w:t>
      </w:r>
    </w:p>
    <w:p>
      <w:pPr>
        <w:spacing w:after="90" w:before="0"/>
        <w:jc w:val="left"/>
      </w:pPr>
      <w:r>
        <w:rPr>
          <w:rFonts w:ascii="Arial" w:cs="Arial" w:eastAsia="Arial" w:hAnsi="Arial"/>
          <w:b w:val="false"/>
          <w:bCs w:val="false"/>
          <w:i w:val="false"/>
          <w:iCs w:val="false"/>
          <w:color w:val="2A2A28"/>
          <w:sz w:val="22"/>
          <w:szCs w:val="22"/>
        </w:rPr>
        <w:t xml:space="preserve">The know-how of building well is best held as named, revisable patterns rather than frozen specification. Steppe’s design language is literally a pattern library — twenty-five patterns held in clusters, added to additively and never renumbered — so the practical wisdom of the build stays legible and editable as the platform grows.</w:t>
      </w:r>
    </w:p>
    <w:p>
      <w:pPr>
        <w:spacing w:after="60" w:before="0"/>
        <w:jc w:val="left"/>
      </w:pPr>
      <w:r>
        <w:rPr>
          <w:rFonts w:ascii="Arial" w:cs="Arial" w:eastAsia="Arial" w:hAnsi="Arial"/>
          <w:b w:val="false"/>
          <w:bCs w:val="false"/>
          <w:i w:val="false"/>
          <w:iCs w:val="false"/>
          <w:color w:val="2A2A28"/>
          <w:sz w:val="22"/>
          <w:szCs w:val="22"/>
        </w:rPr>
        <w:t xml:space="preserve"/>
      </w:r>
    </w:p>
    <w:p>
      <w:pPr>
        <w:pBdr>
          <w:left w:val="single" w:color="3D5040" w:sz="24" w:space="10"/>
        </w:pBdr>
        <w:spacing w:after="80" w:before="80"/>
      </w:pPr>
      <w:r>
        <w:rPr>
          <w:rFonts w:ascii="Arial" w:cs="Arial" w:eastAsia="Arial" w:hAnsi="Arial"/>
          <w:b/>
          <w:bCs/>
          <w:i/>
          <w:iCs/>
          <w:color w:val="2A2A28"/>
          <w:sz w:val="22"/>
          <w:szCs w:val="22"/>
        </w:rPr>
        <w:t xml:space="preserve">Institutions simplify what they govern in order to manage it, and that simplification — aided by technology, incentivized by extraction, and obscured by metrics — tends to harm the people furthest from power. Steppe exists to refuse that cycle from the start.</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02 — Why a Nonprofit, and Why Now</w:t>
      </w:r>
    </w:p>
    <w:p>
      <w:pPr>
        <w:spacing w:after="110" w:before="0"/>
        <w:jc w:val="left"/>
      </w:pPr>
      <w:r>
        <w:rPr>
          <w:rFonts w:ascii="Arial" w:cs="Arial" w:eastAsia="Arial" w:hAnsi="Arial"/>
          <w:b w:val="false"/>
          <w:bCs w:val="false"/>
          <w:i w:val="false"/>
          <w:iCs w:val="false"/>
          <w:color w:val="2A2A28"/>
          <w:sz w:val="22"/>
          <w:szCs w:val="22"/>
        </w:rPr>
        <w:t xml:space="preserve">Steppe is unusual in that its structure is its product. A typical software venture chooses a legal entity for tax and capital reasons, and the choice is invisible to users. Steppe sells trust in being structurally non-extractive: the willingness to verify, to participate, and to pay a small fee for something offered free elsewhere all rest on the credibility of “community-owned, no extraction, cannot be sold.” For this project the entity is not back-office plumbing — it is the value proposition.</w:t>
      </w:r>
    </w:p>
    <w:p>
      <w:pPr>
        <w:spacing w:after="110" w:before="0"/>
        <w:jc w:val="left"/>
      </w:pPr>
      <w:r>
        <w:rPr>
          <w:rFonts w:ascii="Arial" w:cs="Arial" w:eastAsia="Arial" w:hAnsi="Arial"/>
          <w:b w:val="false"/>
          <w:bCs w:val="false"/>
          <w:i w:val="false"/>
          <w:iCs w:val="false"/>
          <w:color w:val="2A2A28"/>
          <w:sz w:val="22"/>
          <w:szCs w:val="22"/>
        </w:rPr>
        <w:t xml:space="preserve">A founder-owned company — even a mission-driven one — can be sold, can take investment, and answers ultimately to an owner. “Community-owned” under that structure is a promise, redeemable only at some future conversion that no document can pin down cleanly. A member-governed nonprofit removes the gap between claim and reality: there is no owner to sell it, no shares to dilute, and the mission is entrenched in law from the first day. The decay path is not merely resisted — it is removed.</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The Founder’s Place in It</w:t>
      </w:r>
    </w:p>
    <w:p>
      <w:pPr>
        <w:spacing w:after="110" w:before="0"/>
        <w:jc w:val="left"/>
      </w:pPr>
      <w:r>
        <w:rPr>
          <w:rFonts w:ascii="Arial" w:cs="Arial" w:eastAsia="Arial" w:hAnsi="Arial"/>
          <w:b w:val="false"/>
          <w:bCs w:val="false"/>
          <w:i w:val="false"/>
          <w:iCs w:val="false"/>
          <w:color w:val="2A2A28"/>
          <w:sz w:val="22"/>
          <w:szCs w:val="22"/>
        </w:rPr>
        <w:t xml:space="preserve">Choosing a nonprofit does not mean the founder gives up a durable, sustaining role. It means that role is a job rather than ownership. The founder serves as Founding Executive Director — the person who runs and curates the platform, holds the keys, sets the culture, and does so on a real salary under a real employment agreement. That role is secured by contract and by the board, not by control, and it is designed to last for the long horizon. Curation, not ownership, is the anchor — and it is a more honest and more durable anchor, because a contract pays a salary and control does not.</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Honest Costs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IRS timing is uncertain — a full exemption determination typically takes several months. The organization may operate and solicit while the application is pending, and exemption is retroactive to formation, so the launch does not wait on the IRS.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Compliance is permanent — an annual federal information return, Oregon charitable registration and annual reporting, board minutes, and a conflict-of-interest policy. At this scale the burden is a few hours a quarter, and the transparency commitment already exceeds what is required.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No investment capital, ever — already true in spirit; now true in law. Steppe does not want growth capital, and the structure makes that permanent.</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03 — Legal Architecture</w:t>
      </w:r>
    </w:p>
    <w:p>
      <w:pPr>
        <w:pStyle w:val="Heading2"/>
        <w:spacing w:after="120" w:before="360"/>
      </w:pPr>
      <w:r>
        <w:rPr>
          <w:rFonts w:ascii="Arial" w:cs="Arial" w:eastAsia="Arial" w:hAnsi="Arial"/>
          <w:b/>
          <w:bCs/>
          <w:color w:val="3D5040"/>
          <w:sz w:val="24"/>
          <w:szCs w:val="24"/>
        </w:rPr>
        <w:t xml:space="preserve">The Entity</w:t>
      </w:r>
    </w:p>
    <w:p>
      <w:pPr>
        <w:spacing w:after="110" w:before="0"/>
        <w:jc w:val="left"/>
      </w:pPr>
      <w:r>
        <w:rPr>
          <w:rFonts w:ascii="Arial" w:cs="Arial" w:eastAsia="Arial" w:hAnsi="Arial"/>
          <w:b w:val="false"/>
          <w:bCs w:val="false"/>
          <w:i w:val="false"/>
          <w:iCs w:val="false"/>
          <w:color w:val="2A2A28"/>
          <w:sz w:val="22"/>
          <w:szCs w:val="22"/>
        </w:rPr>
        <w:t xml:space="preserve">Steppe incorporates under Oregon nonprofit law as a public benefit corporation with statutory voting members. This is the load-bearing choice: Oregon law lets a nonprofit’s members hold real legal power — electing the board and approving fundamental transactions — so the community vote system stops being platform policy enforced by goodwill and becomes corporate law enforced by statute, with the database-level secret ballot as its instrument.</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Entrenchment — What Goes in the Articles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Purpose clause</w:t>
      </w:r>
      <w:r>
        <w:rPr>
          <w:rFonts w:ascii="Arial" w:cs="Arial" w:eastAsia="Arial" w:hAnsi="Arial"/>
          <w:b w:val="false"/>
          <w:bCs w:val="false"/>
          <w:i w:val="false"/>
          <w:iCs w:val="false"/>
          <w:color w:val="2A2A28"/>
          <w:sz w:val="22"/>
          <w:szCs w:val="22"/>
        </w:rPr>
        <w:t xml:space="preserve"> — operating community-owned digital civic infrastructure for the towns of Central Oregon — advancing digital inclusion, civic participation, community education, and charitable giving — exclusively for charitable and educational purposes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No-advertising and member-data provisions</w:t>
      </w:r>
      <w:r>
        <w:rPr>
          <w:rFonts w:ascii="Arial" w:cs="Arial" w:eastAsia="Arial" w:hAnsi="Arial"/>
          <w:b w:val="false"/>
          <w:bCs w:val="false"/>
          <w:i w:val="false"/>
          <w:iCs w:val="false"/>
          <w:color w:val="2A2A28"/>
          <w:sz w:val="22"/>
          <w:szCs w:val="22"/>
        </w:rPr>
        <w:t xml:space="preserve"> — written as restrictions on corporate power, not as policy</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Dissolution clause</w:t>
      </w:r>
      <w:r>
        <w:rPr>
          <w:rFonts w:ascii="Arial" w:cs="Arial" w:eastAsia="Arial" w:hAnsi="Arial"/>
          <w:b w:val="false"/>
          <w:bCs w:val="false"/>
          <w:i w:val="false"/>
          <w:iCs w:val="false"/>
          <w:color w:val="2A2A28"/>
          <w:sz w:val="22"/>
          <w:szCs w:val="22"/>
        </w:rPr>
        <w:t xml:space="preserve"> — on dissolution, all assets pass to one or more aligned charitable organizations serving Central Oregon — never to any private person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Amendment protection</w:t>
      </w:r>
      <w:r>
        <w:rPr>
          <w:rFonts w:ascii="Arial" w:cs="Arial" w:eastAsia="Arial" w:hAnsi="Arial"/>
          <w:b w:val="false"/>
          <w:bCs w:val="false"/>
          <w:i w:val="false"/>
          <w:iCs w:val="false"/>
          <w:color w:val="2A2A28"/>
          <w:sz w:val="22"/>
          <w:szCs w:val="22"/>
        </w:rPr>
        <w:t xml:space="preserve"> — the articles are amendable only with member approval at the supermajorities the bylaws define</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Founder Protections — Bounded and Disclosed</w:t>
      </w:r>
    </w:p>
    <w:p>
      <w:pPr>
        <w:spacing w:after="110" w:before="0"/>
        <w:jc w:val="left"/>
      </w:pPr>
      <w:r>
        <w:rPr>
          <w:rFonts w:ascii="Arial" w:cs="Arial" w:eastAsia="Arial" w:hAnsi="Arial"/>
          <w:b w:val="false"/>
          <w:bCs w:val="false"/>
          <w:i w:val="false"/>
          <w:iCs w:val="false"/>
          <w:color w:val="2A2A28"/>
          <w:sz w:val="22"/>
          <w:szCs w:val="22"/>
        </w:rPr>
        <w:t xml:space="preserve">Three distinct, legitimate protections give the founder a secure, sustaining place through the fragile years without contradicting community ownership:</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Executive Director role</w:t>
      </w:r>
      <w:r>
        <w:rPr>
          <w:rFonts w:ascii="Arial" w:cs="Arial" w:eastAsia="Arial" w:hAnsi="Arial"/>
          <w:b w:val="false"/>
          <w:bCs w:val="false"/>
          <w:i w:val="false"/>
          <w:iCs w:val="false"/>
          <w:color w:val="2A2A28"/>
          <w:sz w:val="22"/>
          <w:szCs w:val="22"/>
        </w:rPr>
        <w:t xml:space="preserve"> — a multi-year employment agreement with defined severance. The ED is staff, not a board seat, and is therefore not subject to member elections — the founder’s livelihood and operational control rest on contract, not on winning a vote.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A founder board seat</w:t>
      </w:r>
      <w:r>
        <w:rPr>
          <w:rFonts w:ascii="Arial" w:cs="Arial" w:eastAsia="Arial" w:hAnsi="Arial"/>
          <w:b w:val="false"/>
          <w:bCs w:val="false"/>
          <w:i w:val="false"/>
          <w:iCs w:val="false"/>
          <w:color w:val="2A2A28"/>
          <w:sz w:val="22"/>
          <w:szCs w:val="22"/>
        </w:rPr>
        <w:t xml:space="preserve"> — held while the founder serves as ED and converting to a permanent non-voting advisory seat afterward — a guaranteed voice, in perpetuity.</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A bounded founder-protection period</w:t>
      </w:r>
      <w:r>
        <w:rPr>
          <w:rFonts w:ascii="Arial" w:cs="Arial" w:eastAsia="Arial" w:hAnsi="Arial"/>
          <w:b w:val="false"/>
          <w:bCs w:val="false"/>
          <w:i w:val="false"/>
          <w:iCs w:val="false"/>
          <w:color w:val="2A2A28"/>
          <w:sz w:val="22"/>
          <w:szCs w:val="22"/>
        </w:rPr>
        <w:t xml:space="preserve"> — for a bounded founding era — sunsetting at the earlier of six years or 3,500 verified members sustained four consecutive quarters — a narrow set of changes requires the founder’s concurrence alongside the normal member vote: amendments to the entrenched commitments; dissolution, merger, or sale of substantially all assets; and any lowering of the amendment threshold itself. It is a negative-power right — the founder can block these specific changes, never initiate them — and it expressly excludes dues and compensation. The period then sunsets automatically into full member governance.</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5541F" w:sz="1"/>
              <w:left w:val="single" w:color="B5541F" w:sz="1"/>
              <w:bottom w:val="single" w:color="B5541F" w:sz="1"/>
              <w:right w:val="single" w:color="B5541F" w:sz="1"/>
            </w:tcBorders>
            <w:shd w:fill="B5541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THE LINE</w:t>
            </w:r>
          </w:p>
        </w:tc>
        <w:tc>
          <w:tcPr>
            <w:tcW w:type="dxa" w:w="7860"/>
            <w:tcBorders>
              <w:top w:val="single" w:color="B5541F" w:sz="1"/>
              <w:left w:val="single" w:color="B5541F" w:sz="1"/>
              <w:bottom w:val="single" w:color="B5541F" w:sz="1"/>
              <w:right w:val="single" w:color="B5541F"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These protections are bounded and temporary by design. A founder-led nonprofit with sunsetting protections is normal and defensible; a nonprofit whose founder is permanently unremovable would be a for-profit wearing nonprofit clothes, and would hollow out the community ownership that is the whole point. The protections secure the launch — they do not privatize the mission.</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501(c)(3) Pathway</w:t>
      </w:r>
    </w:p>
    <w:p>
      <w:pPr>
        <w:spacing w:after="110" w:before="0"/>
        <w:jc w:val="left"/>
      </w:pPr>
      <w:r>
        <w:rPr>
          <w:rFonts w:ascii="Arial" w:cs="Arial" w:eastAsia="Arial" w:hAnsi="Arial"/>
          <w:b w:val="false"/>
          <w:bCs w:val="false"/>
          <w:i w:val="false"/>
          <w:iCs w:val="false"/>
          <w:color w:val="2A2A28"/>
          <w:sz w:val="22"/>
          <w:szCs w:val="22"/>
        </w:rPr>
        <w:t xml:space="preserve">Because the funding strategy projects revenue crossing the streamlined-application ceiling within a few years, Steppe files the full federal exemption application rather than the short form — the honest choice given the growth projection, and one that forces the charitable-purpose narrative to be written well for every grant that follows. Operations and the launch proceed while the application is pending; exemption is retroactive to formation. For any early grant that requires a determination letter before it is in hand, a fiscal sponsorship arrangement with a national civic-technology sponsor (a Model C “grantor” sponsor) is held as a bridge option rather than a dependency.</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Founder Compensation</w:t>
      </w:r>
    </w:p>
    <w:p>
      <w:pPr>
        <w:spacing w:after="110" w:before="0"/>
        <w:jc w:val="left"/>
      </w:pPr>
      <w:r>
        <w:rPr>
          <w:rFonts w:ascii="Arial" w:cs="Arial" w:eastAsia="Arial" w:hAnsi="Arial"/>
          <w:b w:val="false"/>
          <w:bCs w:val="false"/>
          <w:i w:val="false"/>
          <w:iCs w:val="false"/>
          <w:color w:val="2A2A28"/>
          <w:sz w:val="22"/>
          <w:szCs w:val="22"/>
        </w:rPr>
        <w:t xml:space="preserve">Public from the outset, staged to the platform’s health, and deliberately below market: $0 as a side project; a $15,000–$25,000 annual stipend at significant part-time; a $95,000 full-time ceiling set below the founder’s academic salary as a good-faith signal; with an annual cost-of-living adjustment capped at 3%. In a nonprofit this is board-approved reasonable compensation — documented with comparables, approved by disinterested directors, and disclosed in the transparency report and the public information return.</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The Community Fund</w:t>
      </w:r>
    </w:p>
    <w:p>
      <w:pPr>
        <w:spacing w:after="110" w:before="0"/>
        <w:jc w:val="left"/>
      </w:pPr>
      <w:r>
        <w:rPr>
          <w:rFonts w:ascii="Arial" w:cs="Arial" w:eastAsia="Arial" w:hAnsi="Arial"/>
          <w:b w:val="false"/>
          <w:bCs w:val="false"/>
          <w:i w:val="false"/>
          <w:iCs w:val="false"/>
          <w:color w:val="2A2A28"/>
          <w:sz w:val="22"/>
          <w:szCs w:val="22"/>
        </w:rPr>
        <w:t xml:space="preserve">Voluntary contributions sit above the flat dues and are directed by each member among three buckets: Steppe’s operations, a Member Access Fund that underwrites the hardship waiver, and the Community Fund. The Community Fund — together with any surplus dues revenue once the operator’s compensation is covered — flows entirely to local charities, with recipients chosen each year by a ranked-choice vote of the membership and no individual-charity earmarking. Under a charitable entity this charitable re-granting is a core exempt activity — it strengthens the exemption case rather than complicating it.</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04 — Funding Model: Diversity by Design</w:t>
      </w:r>
    </w:p>
    <w:p>
      <w:pPr>
        <w:spacing w:after="110" w:before="0"/>
        <w:jc w:val="left"/>
      </w:pPr>
      <w:r>
        <w:rPr>
          <w:rFonts w:ascii="Arial" w:cs="Arial" w:eastAsia="Arial" w:hAnsi="Arial"/>
          <w:b w:val="false"/>
          <w:bCs w:val="false"/>
          <w:i w:val="false"/>
          <w:iCs w:val="false"/>
          <w:color w:val="2A2A28"/>
          <w:sz w:val="22"/>
          <w:szCs w:val="22"/>
        </w:rPr>
        <w:t xml:space="preserve">The nonprofit form opens four funding streams a founder-owned company could never reach — and introduces one capture risk that the model is explicitly built to manage.</w:t>
      </w:r>
    </w:p>
    <w:p>
      <w:pPr>
        <w:pStyle w:val="Heading2"/>
        <w:spacing w:after="120" w:before="360"/>
      </w:pPr>
      <w:r>
        <w:rPr>
          <w:rFonts w:ascii="Arial" w:cs="Arial" w:eastAsia="Arial" w:hAnsi="Arial"/>
          <w:b/>
          <w:bCs/>
          <w:color w:val="3D5040"/>
          <w:sz w:val="24"/>
          <w:szCs w:val="24"/>
        </w:rPr>
        <w:t xml:space="preserve">Five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Stream</w:t>
            </w:r>
          </w:p>
        </w:tc>
        <w:tc>
          <w:tcPr>
            <w:tcW w:type="dxa" w:w="41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Composition</w:t>
            </w:r>
          </w:p>
        </w:tc>
        <w:tc>
          <w:tcPr>
            <w:tcW w:type="dxa" w:w="32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Role</w:t>
            </w:r>
          </w:p>
        </w:tc>
      </w:tr>
      <w:tr>
        <w:tc>
          <w:tcPr>
            <w:tcW w:type="dxa" w:w="20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1. Member dues</w:t>
            </w:r>
          </w:p>
        </w:tc>
        <w:tc>
          <w:tcPr>
            <w:tcW w:type="dxa" w:w="4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$4/mo flat, verified locals; billed annually or by ACH. 200 members ≈ $9.6K/yr · 500 ≈ $24K · 1,000 ≈ $48K · 3,500 ≈ $168K</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The anchor. Core operations run on dues alone — always.</w:t>
            </w:r>
          </w:p>
        </w:tc>
      </w:tr>
      <w:tr>
        <w:tc>
          <w:tcPr>
            <w:tcW w:type="dxa" w:w="20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2. Individual donations</w:t>
            </w:r>
          </w:p>
        </w:tc>
        <w:tc>
          <w:tcPr>
            <w:tcW w:type="dxa" w:w="4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Tax-deductible once recognized (retroactive). Year-end campaign; sustaining donors; the Community Fund as the visible destination</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Charitable-giving engine; surplus flows back out to local charities</w:t>
            </w:r>
          </w:p>
        </w:tc>
      </w:tr>
      <w:tr>
        <w:tc>
          <w:tcPr>
            <w:tcW w:type="dxa" w:w="20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3. Foundation grants</w:t>
            </w:r>
          </w:p>
        </w:tc>
        <w:tc>
          <w:tcPr>
            <w:tcW w:type="dxa" w:w="4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Central Oregon and rural-Oregon funders — Roundhouse Foundation (Sisters), The Ford Family Foundation, Oregon Community Foundation, the Bend Foundation, Meyer Memorial Trust, The Collins Foundation — plus civic-information funders, a natural fit given the local-journalism gap and the Compass partnership</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Capacity and expansion: design and accessibility work, localization upkeep, internships, town #2</w:t>
            </w:r>
          </w:p>
        </w:tc>
      </w:tr>
      <w:tr>
        <w:tc>
          <w:tcPr>
            <w:tcW w:type="dxa" w:w="20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4. Government programs</w:t>
            </w:r>
          </w:p>
        </w:tc>
        <w:tc>
          <w:tcPr>
            <w:tcW w:type="dxa" w:w="4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Oregon Broadband Office; USDA Rural Development community programs; later, federal tribal-broadband programs co-applied with Warm Springs</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Infrastructure-scale work only; never core operations; sequenced last (see below)</w:t>
            </w:r>
          </w:p>
        </w:tc>
      </w:tr>
      <w:tr>
        <w:tc>
          <w:tcPr>
            <w:tcW w:type="dxa" w:w="20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5. Earned revenue</w:t>
            </w:r>
          </w:p>
        </w:tc>
        <w:tc>
          <w:tcPr>
            <w:tcW w:type="dxa" w:w="4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Visitor event-listing fees; later, replication support for other rural communities adopting the model</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Modest, mission-aligned supplement</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Government Money — Taken, but on Steppe’s Terms</w:t>
      </w:r>
    </w:p>
    <w:p>
      <w:pPr>
        <w:spacing w:after="110" w:before="0"/>
        <w:jc w:val="left"/>
      </w:pPr>
      <w:r>
        <w:rPr>
          <w:rFonts w:ascii="Arial" w:cs="Arial" w:eastAsia="Arial" w:hAnsi="Arial"/>
          <w:b w:val="false"/>
          <w:bCs w:val="false"/>
          <w:i w:val="false"/>
          <w:iCs w:val="false"/>
          <w:color w:val="2A2A28"/>
          <w:sz w:val="22"/>
          <w:szCs w:val="22"/>
        </w:rPr>
        <w:t xml:space="preserve">Central Oregon is wary of outside money and of government in particular. The answer is not abstinence — it is transparency so complete that the community can verify for itself that the money carries no hidden agenda. Steppe will accept government funding, strategically:</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Sequenced last — government programs are pursued only after local trust is established and the transparency apparatus is proven (2028+), never at founding</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Radically disclosed — every government dollar, every condition attached to it, and every reporting obligation it creates is published in full in the transparency report; members do not have to take on faith that there are no strings, they can read the agreement</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Never core, never compromising — government money funds infrastructure-scale work only, never day-to-day operations, and is refused outright if any condition touches the foundational commitments</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POSTURE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In a government-skeptical community, extreme transparency is a stronger trust mechanism than refusal. Abstinence asks the community to trust a promise; published agreements let them verify the absence of strings. The disclosure is the safeguard.</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Concentration Rules — Anti-Capture Applied to Philanthropy</w:t>
      </w:r>
    </w:p>
    <w:p>
      <w:pPr>
        <w:spacing w:after="110" w:before="0"/>
        <w:jc w:val="left"/>
      </w:pPr>
      <w:r>
        <w:rPr>
          <w:rFonts w:ascii="Arial" w:cs="Arial" w:eastAsia="Arial" w:hAnsi="Arial"/>
          <w:b w:val="false"/>
          <w:bCs w:val="false"/>
          <w:i w:val="false"/>
          <w:iCs w:val="false"/>
          <w:color w:val="2A2A28"/>
          <w:sz w:val="22"/>
          <w:szCs w:val="22"/>
        </w:rPr>
        <w:t xml:space="preserve">Funders shape grantees, incrementally and each request individually reasonable — the same quiet-capture dynamic the platform is built to resist, wearing philanthropic clothes. The discipline: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Dues fund core operations, always — if every grant vanished tomorrow, the platform still runs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No single funder exceeds 30% of annual revenue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No grant is accepted whose conditions touch the foundational commitments — no advertising means no “sponsored content pilots”; member-data ownership means no “data-sharing” riders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Every grant and its conditions are disclosed in the quarterly transparency report</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Funding Sequence &amp; Budget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c>
          <w:tcPr>
            <w:tcW w:type="dxa" w:w="17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Phase</w:t>
            </w:r>
          </w:p>
        </w:tc>
        <w:tc>
          <w:tcPr>
            <w:tcW w:type="dxa" w:w="29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Sources</w:t>
            </w:r>
          </w:p>
        </w:tc>
        <w:tc>
          <w:tcPr>
            <w:tcW w:type="dxa" w:w="47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Notes</w:t>
            </w:r>
          </w:p>
        </w:tc>
      </w:tr>
      <w:tr>
        <w:tc>
          <w:tcPr>
            <w:tcW w:type="dxa" w:w="17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1 (2026–27)</w:t>
            </w:r>
          </w:p>
        </w:tc>
        <w:tc>
          <w:tcPr>
            <w:tcW w:type="dxa" w:w="29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Dues + local individual donations</w:t>
            </w:r>
          </w:p>
        </w:tc>
        <w:tc>
          <w:tcPr>
            <w:tcW w:type="dxa" w:w="47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Trust-building. No government money; minimal outside grants. Founder in academic role, ED salary at $0 — academic income subsidizes the fragile years.</w:t>
            </w:r>
          </w:p>
        </w:tc>
      </w:tr>
      <w:tr>
        <w:tc>
          <w:tcPr>
            <w:tcW w:type="dxa" w:w="17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2 (2027–28)</w:t>
            </w:r>
          </w:p>
        </w:tc>
        <w:tc>
          <w:tcPr>
            <w:tcW w:type="dxa" w:w="29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 Foundation grants</w:t>
            </w:r>
          </w:p>
        </w:tc>
        <w:tc>
          <w:tcPr>
            <w:tcW w:type="dxa" w:w="47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Begins once exemption is recognized. Capacity work and the stipend stage. Still no government money.</w:t>
            </w:r>
          </w:p>
        </w:tc>
      </w:tr>
      <w:tr>
        <w:tc>
          <w:tcPr>
            <w:tcW w:type="dxa" w:w="17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3 (2028+)</w:t>
            </w:r>
          </w:p>
        </w:tc>
        <w:tc>
          <w:tcPr>
            <w:tcW w:type="dxa" w:w="29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 Government programs</w:t>
            </w:r>
          </w:p>
        </w:tc>
        <w:tc>
          <w:tcPr>
            <w:tcW w:type="dxa" w:w="47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Infrastructure-scale only, wrapped in radical transparency. Diversified, no source above 30%. Supports town #2 and the Warm Springs broadband horizon.</w:t>
            </w:r>
          </w:p>
        </w:tc>
      </w:tr>
    </w:tbl>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VIABILITY TEST</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At every rung, core operations are covered by dues alone and everything above core is additive. Grant cycles are slow and grant revenue is lumpy — survivable precisely because nothing essential depends on it, and because aligned academic income carries the founder through the years before the ED salary is real.</w:t>
            </w:r>
          </w:p>
        </w:tc>
      </w:tr>
    </w:tbl>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05 — Mission, Market &amp; the Redmond-First Strategy</w:t>
      </w:r>
    </w:p>
    <w:p>
      <w:pPr>
        <w:spacing w:after="110" w:before="0"/>
        <w:jc w:val="left"/>
      </w:pPr>
      <w:r>
        <w:rPr>
          <w:rFonts w:ascii="Arial" w:cs="Arial" w:eastAsia="Arial" w:hAnsi="Arial"/>
          <w:b w:val="false"/>
          <w:bCs w:val="false"/>
          <w:i w:val="false"/>
          <w:iCs w:val="false"/>
          <w:color w:val="2A2A28"/>
          <w:sz w:val="22"/>
          <w:szCs w:val="22"/>
        </w:rPr>
        <w:t xml:space="preserve">Steppe is digital civic infrastructure — trusted, community-controlled connective tissue, owned by the people it serves and durable past any founder or funding cycle. There is nothing remotely like it in Central Oregon: the local paper has retrenched, the large social platforms are chaotic or distrusted, and word of mouth — the most trusted channel — does not scale. Steppe fills that gap the way a co-op or a public library fills it.</w:t>
      </w:r>
    </w:p>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Why Redmond First</w:t>
      </w:r>
    </w:p>
    <w:p>
      <w:pPr>
        <w:spacing w:after="110" w:before="0"/>
        <w:jc w:val="left"/>
      </w:pPr>
      <w:r>
        <w:rPr>
          <w:rFonts w:ascii="Arial" w:cs="Arial" w:eastAsia="Arial" w:hAnsi="Arial"/>
          <w:b w:val="false"/>
          <w:bCs w:val="false"/>
          <w:i w:val="false"/>
          <w:iCs w:val="false"/>
          <w:color w:val="2A2A28"/>
          <w:sz w:val="22"/>
          <w:szCs w:val="22"/>
        </w:rPr>
        <w:t xml:space="preserve">Growth is one town at a time. Saturation in a single community builds the trust stock, the governance precedents, and the word-of-mouth loop that a thin regional launch never could. Redmond is the right first town: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Scale that saturation can reach</w:t>
      </w:r>
      <w:r>
        <w:rPr>
          <w:rFonts w:ascii="Arial" w:cs="Arial" w:eastAsia="Arial" w:hAnsi="Arial"/>
          <w:b w:val="false"/>
          <w:bCs w:val="false"/>
          <w:i w:val="false"/>
          <w:iCs w:val="false"/>
          <w:color w:val="2A2A28"/>
          <w:sz w:val="22"/>
          <w:szCs w:val="22"/>
        </w:rPr>
        <w:t xml:space="preserve"> — ~36,000 residents; 35 neighborhoods already seeded as the platform’s geographic unit; 200 members is roughly 0.5% of town — meaningful density within reach</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A community partner</w:t>
      </w:r>
      <w:r>
        <w:rPr>
          <w:rFonts w:ascii="Arial" w:cs="Arial" w:eastAsia="Arial" w:hAnsi="Arial"/>
          <w:b w:val="false"/>
          <w:bCs w:val="false"/>
          <w:i w:val="false"/>
          <w:iCs w:val="false"/>
          <w:color w:val="2A2A28"/>
          <w:sz w:val="22"/>
          <w:szCs w:val="22"/>
        </w:rPr>
        <w:t xml:space="preserve"> — Redmond Compass has reviewed the Local Exchange concept favorably; the marketplace will live on Steppe, with naming and partnership structure being confirmed now</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right cultural mix</w:t>
      </w:r>
      <w:r>
        <w:rPr>
          <w:rFonts w:ascii="Arial" w:cs="Arial" w:eastAsia="Arial" w:hAnsi="Arial"/>
          <w:b w:val="false"/>
          <w:bCs w:val="false"/>
          <w:i w:val="false"/>
          <w:iCs w:val="false"/>
          <w:color w:val="2A2A28"/>
          <w:sz w:val="22"/>
          <w:szCs w:val="22"/>
        </w:rPr>
        <w:t xml:space="preserve"> — trades, agriculture, and working families alongside newer arrivals — the cross-layer cohort the founding-member constraint is designed to recruit</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EXPANSION RULE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New towns join by petition and dual vote — the petitioning community and the existing membership — with a hard cap of twelve. The cap bounds scope, cost, and governance load by design; it is an anti-decay mechanism, not a limitation. Multi-town governance uses a deferred-activation design: the structural principles — subsidiarity scope tiers and dual-majority (both a membership majority and a town majority) for regional decisions — are fixed now, while the numeric dials are ratified once membership reaches two or more qualifying towns.</w:t>
            </w:r>
          </w:p>
        </w:tc>
      </w:tr>
    </w:tbl>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Foundational Commitments</w:t>
      </w:r>
    </w:p>
    <w:p>
      <w:pPr>
        <w:spacing w:after="110" w:before="0"/>
        <w:jc w:val="left"/>
      </w:pPr>
      <w:r>
        <w:rPr>
          <w:rFonts w:ascii="Arial" w:cs="Arial" w:eastAsia="Arial" w:hAnsi="Arial"/>
          <w:b w:val="false"/>
          <w:bCs w:val="false"/>
          <w:i w:val="false"/>
          <w:iCs w:val="false"/>
          <w:color w:val="2A2A28"/>
          <w:sz w:val="22"/>
          <w:szCs w:val="22"/>
        </w:rPr>
        <w:t xml:space="preserve">Entrenched in the articles (§03) and changeable only by a 75% member supermajority with a 30-day deliberation period: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No advertising, ever.</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Resident verification is mandatory for full platform access.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The governance model is always community-controlled.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Platform data belongs to members, not operators.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Every major policy decision is reversible by community vote.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06 — Systems &amp; Trust Architecture</w:t>
      </w:r>
    </w:p>
    <w:p>
      <w:pPr>
        <w:spacing w:after="110" w:before="0"/>
        <w:jc w:val="left"/>
      </w:pPr>
      <w:r>
        <w:rPr>
          <w:rFonts w:ascii="Arial" w:cs="Arial" w:eastAsia="Arial" w:hAnsi="Arial"/>
          <w:b w:val="false"/>
          <w:bCs w:val="false"/>
          <w:i w:val="false"/>
          <w:iCs w:val="false"/>
          <w:color w:val="2A2A28"/>
          <w:sz w:val="22"/>
          <w:szCs w:val="22"/>
        </w:rPr>
        <w:t xml:space="preserve">Steppe is a system of interlocking parts, not a feature list. Four systems must hold together; weakening one compromises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System</w:t>
            </w:r>
          </w:p>
        </w:tc>
        <w:tc>
          <w:tcPr>
            <w:tcW w:type="dxa" w:w="34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Core Loop</w:t>
            </w:r>
          </w:p>
        </w:tc>
        <w:tc>
          <w:tcPr>
            <w:tcW w:type="dxa" w:w="44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If Weak</w:t>
            </w:r>
          </w:p>
        </w:tc>
      </w:tr>
      <w:tr>
        <w:tc>
          <w:tcPr>
            <w:tcW w:type="dxa" w:w="15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Trust</w:t>
            </w:r>
          </w:p>
        </w:tc>
        <w:tc>
          <w:tcPr>
            <w:tcW w:type="dxa" w:w="3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Verification → identity → earned weight → permissions → community health → more members worth verifying</w:t>
            </w:r>
          </w:p>
        </w:tc>
        <w:tc>
          <w:tcPr>
            <w:tcW w:type="dxa" w:w="44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Exchange becomes a free-for-all; votes become gameable; the trust stock drains</w:t>
            </w:r>
          </w:p>
        </w:tc>
      </w:tr>
      <w:tr>
        <w:tc>
          <w:tcPr>
            <w:tcW w:type="dxa" w:w="15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Governance</w:t>
            </w:r>
          </w:p>
        </w:tc>
        <w:tc>
          <w:tcPr>
            <w:tcW w:type="dxa" w:w="3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Votes → rules evolve → trust in process → participation → better decisions</w:t>
            </w:r>
          </w:p>
        </w:tc>
        <w:tc>
          <w:tcPr>
            <w:tcW w:type="dxa" w:w="44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Capture by the most active. A 15% quorum and 1×–3× tenure weighting are the joint guard</w:t>
            </w:r>
          </w:p>
        </w:tc>
      </w:tr>
      <w:tr>
        <w:tc>
          <w:tcPr>
            <w:tcW w:type="dxa" w:w="15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Sustainability</w:t>
            </w:r>
          </w:p>
        </w:tc>
        <w:tc>
          <w:tcPr>
            <w:tcW w:type="dxa" w:w="3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Dues → costs covered → operator sustained → surplus to charity → capacity grows</w:t>
            </w:r>
          </w:p>
        </w:tc>
        <w:tc>
          <w:tcPr>
            <w:tcW w:type="dxa" w:w="44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Founder dependency; financial fragility; mission drift under money pressure</w:t>
            </w:r>
          </w:p>
        </w:tc>
      </w:tr>
      <w:tr>
        <w:tc>
          <w:tcPr>
            <w:tcW w:type="dxa" w:w="15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Build</w:t>
            </w:r>
          </w:p>
        </w:tc>
        <w:tc>
          <w:tcPr>
            <w:tcW w:type="dxa" w:w="3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Minimum trustworthy platform → earned trust → earned right to add complexity</w:t>
            </w:r>
          </w:p>
        </w:tc>
        <w:tc>
          <w:tcPr>
            <w:tcW w:type="dxa" w:w="44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Feature creep before trust; the vote-gated marketplace layer is this discipline in practice</w:t>
            </w:r>
          </w:p>
        </w:tc>
      </w:tr>
    </w:tbl>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6B8F6E" w:sz="1"/>
              <w:left w:val="single" w:color="6B8F6E" w:sz="1"/>
              <w:bottom w:val="single" w:color="6B8F6E" w:sz="1"/>
              <w:right w:val="single" w:color="6B8F6E" w:sz="1"/>
            </w:tcBorders>
            <w:shd w:fill="6B8F6E"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REINFORCE</w:t>
            </w:r>
          </w:p>
        </w:tc>
        <w:tc>
          <w:tcPr>
            <w:tcW w:type="dxa" w:w="7860"/>
            <w:tcBorders>
              <w:top w:val="single" w:color="6B8F6E" w:sz="1"/>
              <w:left w:val="single" w:color="6B8F6E" w:sz="1"/>
              <w:bottom w:val="single" w:color="6B8F6E" w:sz="1"/>
              <w:right w:val="single" w:color="6B8F6E"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Quality community → word of mouth → more quality members → better community. Never trade member quality for growth speed — the reason saturation in one town beats thin regional reach.</w:t>
            </w:r>
          </w:p>
        </w:tc>
      </w:tr>
    </w:tbl>
    <w:p>
      <w:pPr>
        <w:spacing w:after="6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5541F" w:sz="1"/>
              <w:left w:val="single" w:color="B5541F" w:sz="1"/>
              <w:bottom w:val="single" w:color="B5541F" w:sz="1"/>
              <w:right w:val="single" w:color="B5541F" w:sz="1"/>
            </w:tcBorders>
            <w:shd w:fill="B5541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DANGER</w:t>
            </w:r>
          </w:p>
        </w:tc>
        <w:tc>
          <w:tcPr>
            <w:tcW w:type="dxa" w:w="7860"/>
            <w:tcBorders>
              <w:top w:val="single" w:color="B5541F" w:sz="1"/>
              <w:left w:val="single" w:color="B5541F" w:sz="1"/>
              <w:bottom w:val="single" w:color="B5541F" w:sz="1"/>
              <w:right w:val="single" w:color="B5541F"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Bad moderation → frustration → silent exit → remaining members more extreme → worse moderation. Early moderation investment is collapse prevention.</w:t>
            </w:r>
          </w:p>
        </w:tc>
      </w:tr>
    </w:tbl>
    <w:p>
      <w:pPr>
        <w:spacing w:after="6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BALANCE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Community votes → rules evolve → trust in process → participation — the self-correcting mechanism, and the first real proposal will exercise it.</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Commons Governance — the Eight Principles, Enforced</w:t>
      </w:r>
    </w:p>
    <w:p>
      <w:pPr>
        <w:spacing w:after="110" w:before="0"/>
        <w:jc w:val="left"/>
      </w:pPr>
      <w:r>
        <w:rPr>
          <w:rFonts w:ascii="Arial" w:cs="Arial" w:eastAsia="Arial" w:hAnsi="Arial"/>
          <w:b w:val="false"/>
          <w:bCs w:val="false"/>
          <w:i w:val="false"/>
          <w:iCs w:val="false"/>
          <w:color w:val="2A2A28"/>
          <w:sz w:val="22"/>
          <w:szCs w:val="22"/>
        </w:rPr>
        <w:t xml:space="preserve">The platform’s governance is audited against all eight commons-governance design principles. Most are now enforced at the data layer rather than promised in policy:</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Clear boundaries — residency verification and the verified/visitor tiers are held by database access rules, not the interface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Rules match local conditions — neighborhood-scoped design (35 Redmond neighborhoods), Spanish localization, and town-by-town rules within the platform framework</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Collective choice — voting is live, with server-set tenure weight, one ballot per member, secret ballots, and a 15% quorum</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Monitoring — a trigger-driven, unforgeable, append-only audit log; quarterly transparency reports; a health dashboard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Graduated sanctions — automated flag, then a human moderator’s decision, then a three-month ban with one appeal; no silent removal</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Conflict resolution — appeals run through a separation-of-duties path with no direct writes; community override by vote; board review for permanence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External recognition — secured at formation through nonprofit status, rather than deferred to a milestone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Nested enterprise — neighborhood, town, platform, and board as nested layers; future towns and the Warm Springs fork as nested autonomous units</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Voice as Structure</w:t>
      </w:r>
    </w:p>
    <w:p>
      <w:pPr>
        <w:spacing w:after="110" w:before="0"/>
        <w:jc w:val="left"/>
      </w:pPr>
      <w:r>
        <w:rPr>
          <w:rFonts w:ascii="Arial" w:cs="Arial" w:eastAsia="Arial" w:hAnsi="Arial"/>
          <w:b w:val="false"/>
          <w:bCs w:val="false"/>
          <w:i w:val="false"/>
          <w:iCs w:val="false"/>
          <w:color w:val="2A2A28"/>
          <w:sz w:val="22"/>
          <w:szCs w:val="22"/>
        </w:rPr>
        <w:t xml:space="preserve">Every governance feature is a voice mechanism, built so disagreement speaks instead of leaving. Silent exit is invisible and teaches nothing; structured voice produces learning.</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Ban-then-appeal — voice after action, never blocked by it</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Public transparency log — voice into a record no one can edit</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Community override — voice that outranks moderators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Governance votes — collective voice on the rules themselves</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5541F" w:sz="1"/>
              <w:left w:val="single" w:color="B5541F" w:sz="1"/>
              <w:bottom w:val="single" w:color="B5541F" w:sz="1"/>
              <w:right w:val="single" w:color="B5541F" w:sz="1"/>
            </w:tcBorders>
            <w:shd w:fill="B5541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LEADING INDICATOR</w:t>
            </w:r>
          </w:p>
        </w:tc>
        <w:tc>
          <w:tcPr>
            <w:tcW w:type="dxa" w:w="7860"/>
            <w:tcBorders>
              <w:top w:val="single" w:color="B5541F" w:sz="1"/>
              <w:left w:val="single" w:color="B5541F" w:sz="1"/>
              <w:bottom w:val="single" w:color="B5541F" w:sz="1"/>
              <w:right w:val="single" w:color="B5541F"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Exit rate measured against appeal rate. High exit with low appeal means voice is failing and people are leaving without speaking — the earliest warning the trust stock is draining.</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Governance You Can Check</w:t>
      </w:r>
    </w:p>
    <w:p>
      <w:pPr>
        <w:spacing w:after="110" w:before="0"/>
        <w:jc w:val="left"/>
      </w:pPr>
      <w:r>
        <w:rPr>
          <w:rFonts w:ascii="Arial" w:cs="Arial" w:eastAsia="Arial" w:hAnsi="Arial"/>
          <w:b w:val="false"/>
          <w:bCs w:val="false"/>
          <w:i w:val="false"/>
          <w:iCs w:val="false"/>
          <w:color w:val="2A2A28"/>
          <w:sz w:val="22"/>
          <w:szCs w:val="22"/>
        </w:rPr>
        <w:t xml:space="preserve">Steppe’s differentiator is not that it claims trustworthy governance — it is that the claims are enforced at the data layer and verifiable by audit, and now by public legal documents as well. Governance you can check beats governance you must believe.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Unforgeable audit log</w:t>
      </w:r>
      <w:r>
        <w:rPr>
          <w:rFonts w:ascii="Arial" w:cs="Arial" w:eastAsia="Arial" w:hAnsi="Arial"/>
          <w:b w:val="false"/>
          <w:bCs w:val="false"/>
          <w:i w:val="false"/>
          <w:iCs w:val="false"/>
          <w:color w:val="2A2A28"/>
          <w:sz w:val="22"/>
          <w:szCs w:val="22"/>
        </w:rPr>
        <w:t xml:space="preserve"> — audit writes happen in database triggers; the client-callable path was found in audit and revoked. The log cannot be skipped or forged — by anyone, including the operator.</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Secret ballot, end to end</w:t>
      </w:r>
      <w:r>
        <w:rPr>
          <w:rFonts w:ascii="Arial" w:cs="Arial" w:eastAsia="Arial" w:hAnsi="Arial"/>
          <w:b w:val="false"/>
          <w:bCs w:val="false"/>
          <w:i w:val="false"/>
          <w:iCs w:val="false"/>
          <w:color w:val="2A2A28"/>
          <w:sz w:val="22"/>
          <w:szCs w:val="22"/>
        </w:rPr>
        <w:t xml:space="preserve"> — ballots carry no read access and results exist only in a post-close view; no ballot choice ever touches the audit log</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Verify-then-forget</w:t>
      </w:r>
      <w:r>
        <w:rPr>
          <w:rFonts w:ascii="Arial" w:cs="Arial" w:eastAsia="Arial" w:hAnsi="Arial"/>
          <w:b w:val="false"/>
          <w:bCs w:val="false"/>
          <w:i w:val="false"/>
          <w:iCs w:val="false"/>
          <w:color w:val="2A2A28"/>
          <w:sz w:val="22"/>
          <w:szCs w:val="22"/>
        </w:rPr>
        <w:t xml:space="preserve"> — the moment a verification decision is recorded, a trigger nulls the evidence pointer; the platform structurally cannot hoard identity documents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Frozen what must not move</w:t>
      </w:r>
      <w:r>
        <w:rPr>
          <w:rFonts w:ascii="Arial" w:cs="Arial" w:eastAsia="Arial" w:hAnsi="Arial"/>
          <w:b w:val="false"/>
          <w:bCs w:val="false"/>
          <w:i w:val="false"/>
          <w:iCs w:val="false"/>
          <w:color w:val="2A2A28"/>
          <w:sz w:val="22"/>
          <w:szCs w:val="22"/>
        </w:rPr>
        <w:t xml:space="preserve"> — proposal window, kind, and author are trigger-frozen; verified status, role, and tenure cannot be self-edited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Checkable in public</w:t>
      </w:r>
      <w:r>
        <w:rPr>
          <w:rFonts w:ascii="Arial" w:cs="Arial" w:eastAsia="Arial" w:hAnsi="Arial"/>
          <w:b w:val="false"/>
          <w:bCs w:val="false"/>
          <w:i w:val="false"/>
          <w:iCs w:val="false"/>
          <w:color w:val="2A2A28"/>
          <w:sz w:val="22"/>
          <w:szCs w:val="22"/>
        </w:rPr>
        <w:t xml:space="preserve"> — articles, bylaws, the information return, and state filings are all public documents — the legal structure can be verified the same way the code can</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07 — Product: What Exists Today</w:t>
      </w:r>
    </w:p>
    <w:p>
      <w:pPr>
        <w:spacing w:after="110" w:before="0"/>
        <w:jc w:val="left"/>
      </w:pPr>
      <w:r>
        <w:rPr>
          <w:rFonts w:ascii="Arial" w:cs="Arial" w:eastAsia="Arial" w:hAnsi="Arial"/>
          <w:b w:val="false"/>
          <w:bCs w:val="false"/>
          <w:i w:val="false"/>
          <w:iCs w:val="false"/>
          <w:color w:val="2A2A28"/>
          <w:sz w:val="22"/>
          <w:szCs w:val="22"/>
        </w:rPr>
        <w:t xml:space="preserve">The core platform is complete, in a version-controlled repository. What ships today: authentication with a plain-language Terms gate; residency verification with human review and verify-then-forget handling; the event primitive, neighborhood-scoped; governance proposals and voting with server-set tenure weight, one ballot per member, secret ballots, and results revealed only after close; automated flagging with volunteer-final, appealable, separation-of-duties moderation; and shipped accessibility, Spanish, mobile, and plain-language passes. A full database-level security audit closed five gaps and is captured in a dry-run runbook with synthetic accounts and an invariant-coverage matrix.</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5541F" w:sz="1"/>
              <w:left w:val="single" w:color="B5541F" w:sz="1"/>
              <w:bottom w:val="single" w:color="B5541F" w:sz="1"/>
              <w:right w:val="single" w:color="B5541F" w:sz="1"/>
            </w:tcBorders>
            <w:shd w:fill="B5541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PENDING BEFORE BETA</w:t>
            </w:r>
          </w:p>
        </w:tc>
        <w:tc>
          <w:tcPr>
            <w:tcW w:type="dxa" w:w="7860"/>
            <w:tcBorders>
              <w:top w:val="single" w:color="B5541F" w:sz="1"/>
              <w:left w:val="single" w:color="B5541F" w:sz="1"/>
              <w:bottom w:val="single" w:color="B5541F" w:sz="1"/>
              <w:right w:val="single" w:color="B5541F"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Brand palette implementation and a full contrast pass · Spanish native-speaker review (currently draft) · legal review of the Terms (bundled with formation counsel) · Compass partnership naming · execution of the dry-run against the invariant matrix.</w:t>
            </w:r>
          </w:p>
        </w:tc>
      </w:tr>
    </w:tbl>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Tier</w:t>
            </w:r>
          </w:p>
        </w:tc>
        <w:tc>
          <w:tcPr>
            <w:tcW w:type="dxa" w:w="24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Who</w:t>
            </w:r>
          </w:p>
        </w:tc>
        <w:tc>
          <w:tcPr>
            <w:tcW w:type="dxa" w:w="50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Access</w:t>
            </w:r>
          </w:p>
        </w:tc>
      </w:tr>
      <w:tr>
        <w:tc>
          <w:tcPr>
            <w:tcW w:type="dxa" w:w="19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Visitor (Free)</w:t>
            </w:r>
          </w:p>
        </w:tc>
        <w:tc>
          <w:tcPr>
            <w:tcW w:type="dxa" w:w="2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Non-residents, vendors, visitors</w:t>
            </w:r>
          </w:p>
        </w:tc>
        <w:tc>
          <w:tcPr>
            <w:tcW w:type="dxa" w:w="50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Public events and curated local information. No posting, voting, or exchange.</w:t>
            </w:r>
          </w:p>
        </w:tc>
      </w:tr>
      <w:tr>
        <w:tc>
          <w:tcPr>
            <w:tcW w:type="dxa" w:w="19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Resident ($4/mo flat)</w:t>
            </w:r>
          </w:p>
        </w:tc>
        <w:tc>
          <w:tcPr>
            <w:tcW w:type="dxa" w:w="2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Verified locals</w:t>
            </w:r>
          </w:p>
        </w:tc>
        <w:tc>
          <w:tcPr>
            <w:tcW w:type="dxa" w:w="50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Full platform: posting, voting, events, Local Exchange, governance. Price cannot rise without a member vote. A no-documentation hardship waiver, funded from the Member Access Fund, keeps full membership available to anyone for whom the dues are a barrier.</w:t>
            </w:r>
          </w:p>
        </w:tc>
      </w:tr>
    </w:tbl>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Design Invariants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Chronological-first, always — no algorithmic ranking, no featured placement, no engagement optimization; discovery features are opt-in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Viewpoint-neutral content policy — all real community events are listed regardless of political or religious content; groups are judged on whether their normal function requires Terms violations, never on ideology</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Verified members only for participation; neighborhood-scoped by default</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No platform fees or cuts on any exchange between members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Trust signals are mutual, completed-exchange acknowledgments tied to real listings — never ratings, scores, or leaderboards</w:t>
      </w:r>
    </w:p>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The Local Exchange</w:t>
      </w:r>
    </w:p>
    <w:p>
      <w:pPr>
        <w:spacing w:after="110" w:before="0"/>
        <w:jc w:val="left"/>
      </w:pPr>
      <w:r>
        <w:rPr>
          <w:rFonts w:ascii="Arial" w:cs="Arial" w:eastAsia="Arial" w:hAnsi="Arial"/>
          <w:b w:val="false"/>
          <w:bCs w:val="false"/>
          <w:i w:val="false"/>
          <w:iCs w:val="false"/>
          <w:color w:val="2A2A28"/>
          <w:sz w:val="22"/>
          <w:szCs w:val="22"/>
        </w:rPr>
        <w:t xml:space="preserve">Scoped with Redmond Compass and committed in two layers that share one listing primitive (an offer or ask with a category, built the way the event primitive was — one model, not parallel systems):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Committed, post-beta</w:t>
      </w:r>
      <w:r>
        <w:rPr>
          <w:rFonts w:ascii="Arial" w:cs="Arial" w:eastAsia="Arial" w:hAnsi="Arial"/>
          <w:b w:val="false"/>
          <w:bCs w:val="false"/>
          <w:i w:val="false"/>
          <w:iCs w:val="false"/>
          <w:color w:val="2A2A28"/>
          <w:sz w:val="22"/>
          <w:szCs w:val="22"/>
        </w:rPr>
        <w:t xml:space="preserve"> — a non-monetary needs exchange — neighborhood-scoped offers and asks, mutual-aid flavored — and trade-for-trade barter among tradespeople. No money, almost no extraction surface.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Later, community-voted</w:t>
      </w:r>
      <w:r>
        <w:rPr>
          <w:rFonts w:ascii="Arial" w:cs="Arial" w:eastAsia="Arial" w:hAnsi="Arial"/>
          <w:b w:val="false"/>
          <w:bCs w:val="false"/>
          <w:i w:val="false"/>
          <w:iCs w:val="false"/>
          <w:color w:val="2A2A28"/>
          <w:sz w:val="22"/>
          <w:szCs w:val="22"/>
        </w:rPr>
        <w:t xml:space="preserve"> — a commercial marketplace as an added layer, gated behind a governance vote and not built until the membership approves it — an ideal candidate for the cohort’s first real proposal.</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08 — Governance &amp; Leadership</w:t>
      </w:r>
    </w:p>
    <w:p>
      <w:pPr>
        <w:spacing w:after="110" w:before="0"/>
        <w:jc w:val="left"/>
      </w:pPr>
      <w:r>
        <w:rPr>
          <w:rFonts w:ascii="Arial" w:cs="Arial" w:eastAsia="Arial" w:hAnsi="Arial"/>
          <w:b w:val="false"/>
          <w:bCs w:val="false"/>
          <w:i w:val="false"/>
          <w:iCs w:val="false"/>
          <w:color w:val="2A2A28"/>
          <w:sz w:val="22"/>
          <w:szCs w:val="22"/>
        </w:rPr>
        <w:t xml:space="preserve">Full normative detail lives in the Governance Charter (companion document). The plan-level summary:</w:t>
      </w:r>
    </w:p>
    <w:p>
      <w:pPr>
        <w:pStyle w:val="Heading2"/>
        <w:spacing w:after="120" w:before="360"/>
      </w:pPr>
      <w:r>
        <w:rPr>
          <w:rFonts w:ascii="Arial" w:cs="Arial" w:eastAsia="Arial" w:hAnsi="Arial"/>
          <w:b/>
          <w:bCs/>
          <w:color w:val="3D5040"/>
          <w:sz w:val="24"/>
          <w:szCs w:val="24"/>
        </w:rPr>
        <w:t xml:space="preserve">Leadership: the Founding Executive Director</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The founder serves as paid Founding ED under a multi-year employment agreement with defined severance — the durable, curatorial role that runs the platform day to day: product, operations, culture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The ED is staff, not a board seat, and is not subject to member elections; the role is secured by contract and board oversight, the founder’s anchor and livelihood for the long horizon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Compensation follows the staged, below-market framework (§03), set by disinterested directors and disclosed publicly</w:t>
      </w:r>
    </w:p>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The Board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Founding board (named)</w:t>
      </w:r>
      <w:r>
        <w:rPr>
          <w:rFonts w:ascii="Arial" w:cs="Arial" w:eastAsia="Arial" w:hAnsi="Arial"/>
          <w:b w:val="false"/>
          <w:bCs w:val="false"/>
          <w:i w:val="false"/>
          <w:iCs w:val="false"/>
          <w:color w:val="2A2A28"/>
          <w:sz w:val="22"/>
          <w:szCs w:val="22"/>
        </w:rPr>
        <w:t xml:space="preserve"> — three directors at incorporation: Greg Chism (founder), Holli Cobb (Redmond community member; founder, Redmond Compass), and Brandon Weimer (owner, Herringbone Books, Redmond — invitation pending). Two of three are Redmond community anchors; seats remain open and are added as the organization grows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Independence</w:t>
      </w:r>
      <w:r>
        <w:rPr>
          <w:rFonts w:ascii="Arial" w:cs="Arial" w:eastAsia="Arial" w:hAnsi="Arial"/>
          <w:b w:val="false"/>
          <w:bCs w:val="false"/>
          <w:i w:val="false"/>
          <w:iCs w:val="false"/>
          <w:color w:val="2A2A28"/>
          <w:sz w:val="22"/>
          <w:szCs w:val="22"/>
        </w:rPr>
        <w:t xml:space="preserve"> — no director holds a business or family relationship with any other. With two of three directors independent of the founder, compensation decisions follow the clean pattern from day one: the founder recuses, and disinterested directors approve against documented comparables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Conflict handling</w:t>
      </w:r>
      <w:r>
        <w:rPr>
          <w:rFonts w:ascii="Arial" w:cs="Arial" w:eastAsia="Arial" w:hAnsi="Arial"/>
          <w:b w:val="false"/>
          <w:bCs w:val="false"/>
          <w:i w:val="false"/>
          <w:iCs w:val="false"/>
          <w:color w:val="2A2A28"/>
          <w:sz w:val="22"/>
          <w:szCs w:val="22"/>
        </w:rPr>
        <w:t xml:space="preserve"> — Cobb recuses from any vote touching the Compass partnership; the same rule pre-commits for Weimer should Steppe and Herringbone ever enter a paid arrangement. Ordinary platform membership is never a conflict</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Transition</w:t>
      </w:r>
      <w:r>
        <w:rPr>
          <w:rFonts w:ascii="Arial" w:cs="Arial" w:eastAsia="Arial" w:hAnsi="Arial"/>
          <w:b w:val="false"/>
          <w:bCs w:val="false"/>
          <w:i w:val="false"/>
          <w:iCs w:val="false"/>
          <w:color w:val="2A2A28"/>
          <w:sz w:val="22"/>
          <w:szCs w:val="22"/>
        </w:rPr>
        <w:t xml:space="preserve"> — the bylaws mandate member-elected seats within 24 months of launch, moving to a full 7–11 seat structure with both community-elected and board-invited pathways, each member-approved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Founder seat</w:t>
      </w:r>
      <w:r>
        <w:rPr>
          <w:rFonts w:ascii="Arial" w:cs="Arial" w:eastAsia="Arial" w:hAnsi="Arial"/>
          <w:b w:val="false"/>
          <w:bCs w:val="false"/>
          <w:i w:val="false"/>
          <w:iCs w:val="false"/>
          <w:color w:val="2A2A28"/>
          <w:sz w:val="22"/>
          <w:szCs w:val="22"/>
        </w:rPr>
        <w:t xml:space="preserve"> — the founder holds a board seat while serving as ED, converting to a permanent non-voting advisory seat afterward</w:t>
      </w:r>
    </w:p>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Founder-Protection Period</w:t>
      </w:r>
    </w:p>
    <w:p>
      <w:pPr>
        <w:spacing w:after="110" w:before="0"/>
        <w:jc w:val="left"/>
      </w:pPr>
      <w:r>
        <w:rPr>
          <w:rFonts w:ascii="Arial" w:cs="Arial" w:eastAsia="Arial" w:hAnsi="Arial"/>
          <w:b w:val="false"/>
          <w:bCs w:val="false"/>
          <w:i w:val="false"/>
          <w:iCs w:val="false"/>
          <w:color w:val="2A2A28"/>
          <w:sz w:val="22"/>
          <w:szCs w:val="22"/>
        </w:rPr>
        <w:t xml:space="preserve">For a bounded founding era — sunsetting at the earlier of six years or 3,500 verified members sustained four consecutive quarters — a narrow set of changes requires the founder’s concurrence alongside the normal member vote: amendments to the entrenched commitments; dissolution, merger, or sale of substantially all assets; and any lowering of the amendment threshold itself. It is a negative-power right — the founder may block these specific changes, never initiate them — and it expressly excludes dues and compensation, which remain Members’ decisions alone. The period sunsets automatically into full member governance. It is distinct from the founder board seat and the ED employment, and it is bounded and disclosed by design.</w:t>
      </w:r>
    </w:p>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Board Development</w:t>
      </w:r>
    </w:p>
    <w:p>
      <w:pPr>
        <w:spacing w:after="110" w:before="0"/>
        <w:jc w:val="left"/>
      </w:pPr>
      <w:r>
        <w:rPr>
          <w:rFonts w:ascii="Arial" w:cs="Arial" w:eastAsia="Arial" w:hAnsi="Arial"/>
          <w:b w:val="false"/>
          <w:bCs w:val="false"/>
          <w:i w:val="false"/>
          <w:iCs w:val="false"/>
          <w:color w:val="2A2A28"/>
          <w:sz w:val="22"/>
          <w:szCs w:val="22"/>
        </w:rPr>
        <w:t xml:space="preserve">Open seats are filled deliberately, recruiting for governance judgment and community roots over prestige, and keeping a majority of directors independent of the founder. Candidates are sourced through the region’s nonprofit infrastructure — Connect Central Oregon and its network for regional governance experience (which also adds a second founder-independent director), the Latino Community Association for the community the Spanish-language commitment must serve, the Oregon Broadband Equity Coalition for digital-equity and broadband expertise, and regional finance leaders for audit and funder confidence. Member-elected seats follow within 24 months.</w:t>
      </w:r>
    </w:p>
    <w:p>
      <w:pPr>
        <w:pStyle w:val="Heading2"/>
        <w:spacing w:after="120" w:before="360"/>
      </w:pPr>
      <w:r>
        <w:rPr>
          <w:rFonts w:ascii="Arial" w:cs="Arial" w:eastAsia="Arial" w:hAnsi="Arial"/>
          <w:b/>
          <w:bCs/>
          <w:color w:val="3D5040"/>
          <w:sz w:val="24"/>
          <w:szCs w:val="24"/>
        </w:rPr>
        <w:t xml:space="preserve">The Community Vote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Quorum</w:t>
      </w:r>
      <w:r>
        <w:rPr>
          <w:rFonts w:ascii="Arial" w:cs="Arial" w:eastAsia="Arial" w:hAnsi="Arial"/>
          <w:b w:val="false"/>
          <w:bCs w:val="false"/>
          <w:i w:val="false"/>
          <w:iCs w:val="false"/>
          <w:color w:val="2A2A28"/>
          <w:sz w:val="22"/>
          <w:szCs w:val="22"/>
        </w:rPr>
        <w:t xml:space="preserve"> — 15% of eligible voters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Tenure weighting</w:t>
      </w:r>
      <w:r>
        <w:rPr>
          <w:rFonts w:ascii="Arial" w:cs="Arial" w:eastAsia="Arial" w:hAnsi="Arial"/>
          <w:b w:val="false"/>
          <w:bCs w:val="false"/>
          <w:i w:val="false"/>
          <w:iCs w:val="false"/>
          <w:color w:val="2A2A28"/>
          <w:sz w:val="22"/>
          <w:szCs w:val="22"/>
        </w:rPr>
        <w:t xml:space="preserve"> — 1× to 3× by membership duration — prevents capture by the newest and loudest while preserving every member’s voice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Secret ballots</w:t>
      </w:r>
      <w:r>
        <w:rPr>
          <w:rFonts w:ascii="Arial" w:cs="Arial" w:eastAsia="Arial" w:hAnsi="Arial"/>
          <w:b w:val="false"/>
          <w:bCs w:val="false"/>
          <w:i w:val="false"/>
          <w:iCs w:val="false"/>
          <w:color w:val="2A2A28"/>
          <w:sz w:val="22"/>
          <w:szCs w:val="22"/>
        </w:rPr>
        <w:t xml:space="preserve"> — enforced in the database; results visible only after a proposal closes</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Decision Type</w:t>
            </w:r>
          </w:p>
        </w:tc>
        <w:tc>
          <w:tcPr>
            <w:tcW w:type="dxa" w:w="57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Threshold</w:t>
            </w:r>
          </w:p>
        </w:tc>
      </w:tr>
      <w:tr>
        <w:tc>
          <w:tcPr>
            <w:tcW w:type="dxa" w:w="3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Minor policy</w:t>
            </w:r>
          </w:p>
        </w:tc>
        <w:tc>
          <w:tcPr>
            <w:tcW w:type="dxa" w:w="57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Simple majority of quorum</w:t>
            </w:r>
          </w:p>
        </w:tc>
      </w:tr>
      <w:tr>
        <w:tc>
          <w:tcPr>
            <w:tcW w:type="dxa" w:w="3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Major policy (incl. price changes, the marketplace layer)</w:t>
            </w:r>
          </w:p>
        </w:tc>
        <w:tc>
          <w:tcPr>
            <w:tcW w:type="dxa" w:w="57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60% supermajority of quorum</w:t>
            </w:r>
          </w:p>
        </w:tc>
      </w:tr>
      <w:tr>
        <w:tc>
          <w:tcPr>
            <w:tcW w:type="dxa" w:w="3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Foundational commitments</w:t>
            </w:r>
          </w:p>
        </w:tc>
        <w:tc>
          <w:tcPr>
            <w:tcW w:type="dxa" w:w="57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75% supermajority + 30-day deliberation</w:t>
            </w:r>
          </w:p>
        </w:tc>
      </w:tr>
      <w:tr>
        <w:tc>
          <w:tcPr>
            <w:tcW w:type="dxa" w:w="3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New town addition</w:t>
            </w:r>
          </w:p>
        </w:tc>
        <w:tc>
          <w:tcPr>
            <w:tcW w:type="dxa" w:w="57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Petition + dual vote; hard cap of twelve</w:t>
            </w:r>
          </w:p>
        </w:tc>
      </w:tr>
      <w:tr>
        <w:tc>
          <w:tcPr>
            <w:tcW w:type="dxa" w:w="3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Annual charity selection</w:t>
            </w:r>
          </w:p>
        </w:tc>
        <w:tc>
          <w:tcPr>
            <w:tcW w:type="dxa" w:w="57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Ranked-choice vote</w:t>
            </w:r>
          </w:p>
        </w:tc>
      </w:tr>
      <w:tr>
        <w:tc>
          <w:tcPr>
            <w:tcW w:type="dxa" w:w="3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Board recall</w:t>
            </w:r>
          </w:p>
        </w:tc>
        <w:tc>
          <w:tcPr>
            <w:tcW w:type="dxa" w:w="57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60% supermajority</w:t>
            </w:r>
          </w:p>
        </w:tc>
      </w:tr>
    </w:tbl>
    <w:p>
      <w:pPr>
        <w:spacing w:after="4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Moderation &amp; Due Process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Automation may flag; only a human moderator may decide. Moderators serve staggered one-year renewable terms — three at minimum — supported by a modest honorarium of $50–100 each per month, capped at 8% of operating expenses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Graduated consequences end at a three-month ban with one appeal; no permanent ban without board review</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Separation of duties — the deciding moderator cannot hear the appeal</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No silent removal; hard deletion is creator-only; moderation actions are append-only and visible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Quarterly public transparency report; sustained complaints trigger a community-override vote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09 — Timeline</w:t>
      </w:r>
    </w:p>
    <w:p>
      <w:pPr>
        <w:spacing w:after="110" w:before="0"/>
        <w:jc w:val="left"/>
      </w:pPr>
      <w:r>
        <w:rPr>
          <w:rFonts w:ascii="Arial" w:cs="Arial" w:eastAsia="Arial" w:hAnsi="Arial"/>
          <w:b w:val="false"/>
          <w:bCs w:val="false"/>
          <w:i w:val="false"/>
          <w:iCs w:val="false"/>
          <w:color w:val="2A2A28"/>
          <w:sz w:val="22"/>
          <w:szCs w:val="22"/>
        </w:rPr>
        <w:t xml:space="preserve">Sequenced by dependency from where the project stands in mid-2026. The build is done; what remains before beta is verification, review, and people. The founder’s career risk is managed by sequencing, not by entitlement — aligned academic income carries the fragile years, and the full-time leap waits for a demonstrated salary.</w:t>
      </w:r>
    </w:p>
    <w:p>
      <w:pPr>
        <w:pStyle w:val="Heading2"/>
        <w:spacing w:after="120" w:before="360"/>
      </w:pPr>
      <w:r>
        <w:rPr>
          <w:rFonts w:ascii="Arial" w:cs="Arial" w:eastAsia="Arial" w:hAnsi="Arial"/>
          <w:b/>
          <w:bCs/>
          <w:color w:val="3D5040"/>
          <w:sz w:val="24"/>
          <w:szCs w:val="24"/>
        </w:rPr>
        <w:t xml:space="preserve">2026 — Formation, Gates, Launch</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Confirm Weimer’s acceptance (formation-blocking — Oregon requires three directors); file articles of incorporation with the entrenchment and member-governance provisions; obtain an EIN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Engage one Oregon nonprofit attorney for articles, bylaws, dues framing, and the Terms review already pending; first board meeting adopts bylaws, conflict-of-interest and compensation policies; register for charitable solicitation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Close the pre-beta gates: dry-run execution, Compass naming, Spanish native-speaker review, brand palette and contrast pass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Recruit the founding cohort (~50, Redmond, no more than 20% remote-professional) and at least three moderators (the standing minimum); run a 60-day closed beta and dogfood the first real governance proposal</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Public Redmond launch in late 2026, by word of mouth through the cohort and Compass; first transparency report within 30 days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Founder remains in an aligned academic role throughout; ED salary at $0 — academic income subsidizes this phase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Partnership outreach begins: Connect Central Oregon (board candidate + regional introductions), secure a national Model C fiscal sponsor as the determination-period bridge, join the Oregon Broadband Equity Coalition, and the OSU-Cascades Innovation Co-Lab and EDCO — the three relationships that set up everything downstream</w:t>
      </w:r>
    </w:p>
    <w:p>
      <w:pPr>
        <w:pStyle w:val="Heading2"/>
        <w:spacing w:after="120" w:before="360"/>
      </w:pPr>
      <w:r>
        <w:rPr>
          <w:rFonts w:ascii="Arial" w:cs="Arial" w:eastAsia="Arial" w:hAnsi="Arial"/>
          <w:b/>
          <w:bCs/>
          <w:color w:val="3D5040"/>
          <w:sz w:val="24"/>
          <w:szCs w:val="24"/>
        </w:rPr>
        <w:t xml:space="preserve">2027 — Deepen, Fund, Widen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Saturate Redmond: 100 paid members by early 2027, 200 (~0.5% of town) by mid-year; ship the Local Exchange post-beta</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Once exemption is recognized, submit first foundation grant requests (Roundhouse, Ford Family, OCF) for capacity; stipend stage may begin; first annual ranked-choice charity vote opens the Community Fund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First member-elected board seats; open the petition process for town #2; full-year transparency report</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Still no government money — trust-building phase continues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H2: open MOU conversations with COCC (Center for Business/Industry, CIS chair), OSU-Cascades, DIYcave, and the Deschutes Public Library — internship alignment, makerspace access, and the community-partner role in the regional data-literacy bridge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Begin the Warm Springs Community Action Team relationship — listening only — and the Latino Community Association relationship ahead of any Madras-area work; deepen the broadband coalition and Link Oregon for Connect</w:t>
      </w:r>
    </w:p>
    <w:p>
      <w:pPr>
        <w:pStyle w:val="Heading2"/>
        <w:spacing w:after="120" w:before="360"/>
      </w:pPr>
      <w:r>
        <w:rPr>
          <w:rFonts w:ascii="Arial" w:cs="Arial" w:eastAsia="Arial" w:hAnsi="Arial"/>
          <w:b/>
          <w:bCs/>
          <w:color w:val="3D5040"/>
          <w:sz w:val="24"/>
          <w:szCs w:val="24"/>
        </w:rPr>
        <w:t xml:space="preserve">2028+ — Capacity, Government Money, Expansion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Pursue government programs (Oregon Broadband, USDA) for infrastructure-scale work only, wrapped in radical transparency — every dollar and condition published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Internship cohort (Tech, Community, Data tracks) and first scholarships, grant-funded — placements aligned with COCC and OSU-Cascades work-based-learning programs; town #2 onboarding by dual vote; diversified revenue with no source above 30%</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First Connect rural-access pilot: one partner town, library or community-center access points with makerspace-built device kits — grant-funded end to end under the transparency posture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Founder transitions to full-time ED only when the ED salary is demonstrably sustainable from dues and diversified revenue — the leap is sequenced on evidence, never assumed</w:t>
      </w:r>
    </w:p>
    <w:p>
      <w:pPr>
        <w:pStyle w:val="Heading2"/>
        <w:spacing w:after="120" w:before="360"/>
      </w:pPr>
      <w:r>
        <w:rPr>
          <w:rFonts w:ascii="Arial" w:cs="Arial" w:eastAsia="Arial" w:hAnsi="Arial"/>
          <w:b/>
          <w:bCs/>
          <w:color w:val="3D5040"/>
          <w:sz w:val="24"/>
          <w:szCs w:val="24"/>
        </w:rPr>
        <w:t xml:space="preserve">2029+ — Warm Springs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Questions before proposals: formal tribal-council engagement only from organizational stability; co-design with tribal members as design leads; grant co-application; full IP and operational handoff. The sequence cannot be compressed.</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10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Risk</w:t>
            </w:r>
          </w:p>
        </w:tc>
        <w:tc>
          <w:tcPr>
            <w:tcW w:type="dxa" w:w="18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Exposure</w:t>
            </w:r>
          </w:p>
        </w:tc>
        <w:tc>
          <w:tcPr>
            <w:tcW w:type="dxa" w:w="49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Mitigation</w:t>
            </w:r>
          </w:p>
        </w:tc>
      </w:tr>
      <w:tr>
        <w:tc>
          <w:tcPr>
            <w:tcW w:type="dxa" w:w="2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Founder career risk / full-time leap</w:t>
            </w:r>
          </w:p>
        </w:tc>
        <w:tc>
          <w:tcPr>
            <w:tcW w:type="dxa" w:w="18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High if rushed</w:t>
            </w:r>
          </w:p>
        </w:tc>
        <w:tc>
          <w:tcPr>
            <w:tcW w:type="dxa" w:w="4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Staged sequencing: aligned academic income through launch and the sustainability-proof phase; full-time only on a demonstrated ED salary; multi-year employment agreement with defined severance. The leap is gated on evidence, not hope</w:t>
            </w:r>
          </w:p>
        </w:tc>
      </w:tr>
      <w:tr>
        <w:tc>
          <w:tcPr>
            <w:tcW w:type="dxa" w:w="2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Founder dependency</w:t>
            </w:r>
          </w:p>
        </w:tc>
        <w:tc>
          <w:tcPr>
            <w:tcW w:type="dxa" w:w="18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Low–Medium</w:t>
            </w:r>
          </w:p>
        </w:tc>
        <w:tc>
          <w:tcPr>
            <w:tcW w:type="dxa" w:w="4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ED role + founder seat + bounded protection period carry the early years; entrenched articles and member governance mean the entity outlives its founder by construction; the protection period sunsets so dependency ends by design</w:t>
            </w:r>
          </w:p>
        </w:tc>
      </w:tr>
      <w:tr>
        <w:tc>
          <w:tcPr>
            <w:tcW w:type="dxa" w:w="2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Government money / local-trust friction</w:t>
            </w:r>
          </w:p>
        </w:tc>
        <w:tc>
          <w:tcPr>
            <w:tcW w:type="dxa" w:w="18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 in a skeptical region</w:t>
            </w:r>
          </w:p>
        </w:tc>
        <w:tc>
          <w:tcPr>
            <w:tcW w:type="dxa" w:w="4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Sequenced last, after trust is established; radical transparency — every dollar, condition, and obligation published; never core operations; refused if any condition touches the foundational commitments</w:t>
            </w:r>
          </w:p>
        </w:tc>
      </w:tr>
      <w:tr>
        <w:tc>
          <w:tcPr>
            <w:tcW w:type="dxa" w:w="2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Grant capture / mission drift</w:t>
            </w:r>
          </w:p>
        </w:tc>
        <w:tc>
          <w:tcPr>
            <w:tcW w:type="dxa" w:w="18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 rising with success</w:t>
            </w:r>
          </w:p>
        </w:tc>
        <w:tc>
          <w:tcPr>
            <w:tcW w:type="dxa" w:w="4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Dues fund core; 30% funder cap; no conditions touching foundational commitments; full disclosure</w:t>
            </w:r>
          </w:p>
        </w:tc>
      </w:tr>
      <w:tr>
        <w:tc>
          <w:tcPr>
            <w:tcW w:type="dxa" w:w="2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IRS determination delay</w:t>
            </w:r>
          </w:p>
        </w:tc>
        <w:tc>
          <w:tcPr>
            <w:tcW w:type="dxa" w:w="18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w:t>
            </w:r>
          </w:p>
        </w:tc>
        <w:tc>
          <w:tcPr>
            <w:tcW w:type="dxa" w:w="4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Full application with a well-built narrative; operations proceed lawfully while pending; retroactivity protects donors; fiscal sponsorship held as a bridge for early grants</w:t>
            </w:r>
          </w:p>
        </w:tc>
      </w:tr>
      <w:tr>
        <w:tc>
          <w:tcPr>
            <w:tcW w:type="dxa" w:w="2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Board conflicts / IRS independence</w:t>
            </w:r>
          </w:p>
        </w:tc>
        <w:tc>
          <w:tcPr>
            <w:tcW w:type="dxa" w:w="18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Low, managed</w:t>
            </w:r>
          </w:p>
        </w:tc>
        <w:tc>
          <w:tcPr>
            <w:tcW w:type="dxa" w:w="4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Majority-independent board; conflict policy at meeting one; Cobb recuses on Compass, Weimer pre-commits the same; member elections within 24 months. Weimer’s acceptance is formation-blocking, with a cohort-pool fallback</w:t>
            </w:r>
          </w:p>
        </w:tc>
      </w:tr>
      <w:tr>
        <w:tc>
          <w:tcPr>
            <w:tcW w:type="dxa" w:w="2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Wrong founding-cohort culture</w:t>
            </w:r>
          </w:p>
        </w:tc>
        <w:tc>
          <w:tcPr>
            <w:tcW w:type="dxa" w:w="18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High if not deliberate</w:t>
            </w:r>
          </w:p>
        </w:tc>
        <w:tc>
          <w:tcPr>
            <w:tcW w:type="dxa" w:w="4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≤20% remote-professional constraint; recruitment across community layers; the cohort is treated as a governance decision</w:t>
            </w:r>
          </w:p>
        </w:tc>
      </w:tr>
      <w:tr>
        <w:tc>
          <w:tcPr>
            <w:tcW w:type="dxa" w:w="2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Early moderation scandal</w:t>
            </w:r>
          </w:p>
        </w:tc>
        <w:tc>
          <w:tcPr>
            <w:tcW w:type="dxa" w:w="18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w:t>
            </w:r>
          </w:p>
        </w:tc>
        <w:tc>
          <w:tcPr>
            <w:tcW w:type="dxa" w:w="4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Redmond-calibrated policy; three trained moderators pre-launch; transparency log from day one; first-month incidents handled personally</w:t>
            </w:r>
          </w:p>
        </w:tc>
      </w:tr>
      <w:tr>
        <w:tc>
          <w:tcPr>
            <w:tcW w:type="dxa" w:w="2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Governance capture</w:t>
            </w:r>
          </w:p>
        </w:tc>
        <w:tc>
          <w:tcPr>
            <w:tcW w:type="dxa" w:w="18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 without design</w:t>
            </w:r>
          </w:p>
        </w:tc>
        <w:tc>
          <w:tcPr>
            <w:tcW w:type="dxa" w:w="4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 quorum and 1×–3× tenure weighting jointly; secret ballots; frozen proposal fields</w:t>
            </w:r>
          </w:p>
        </w:tc>
      </w:tr>
      <w:tr>
        <w:tc>
          <w:tcPr>
            <w:tcW w:type="dxa" w:w="2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Silent exit (voice failure)</w:t>
            </w:r>
          </w:p>
        </w:tc>
        <w:tc>
          <w:tcPr>
            <w:tcW w:type="dxa" w:w="18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w:t>
            </w:r>
          </w:p>
        </w:tc>
        <w:tc>
          <w:tcPr>
            <w:tcW w:type="dxa" w:w="4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Track exit rate against appeal rate; act on divergence immediately</w:t>
            </w:r>
          </w:p>
        </w:tc>
      </w:tr>
      <w:tr>
        <w:tc>
          <w:tcPr>
            <w:tcW w:type="dxa" w:w="26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Verification excludes rural residents</w:t>
            </w:r>
          </w:p>
        </w:tc>
        <w:tc>
          <w:tcPr>
            <w:tcW w:type="dxa" w:w="18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High without design</w:t>
            </w:r>
          </w:p>
        </w:tc>
        <w:tc>
          <w:tcPr>
            <w:tcW w:type="dxa" w:w="4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Multiple pathways; human review; PO box accommodation; Spanish flow; verify-then-forget</w:t>
            </w:r>
          </w:p>
        </w:tc>
      </w:tr>
      <w:tr>
        <w:tc>
          <w:tcPr>
            <w:tcW w:type="dxa" w:w="26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Churn before sustainability</w:t>
            </w:r>
          </w:p>
        </w:tc>
        <w:tc>
          <w:tcPr>
            <w:tcW w:type="dxa" w:w="18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Medium</w:t>
            </w:r>
          </w:p>
        </w:tc>
        <w:tc>
          <w:tcPr>
            <w:tcW w:type="dxa" w:w="4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Saturation concentrates word of mouth; lean cost floor; staged salary keeps burn near zero; academic income de-risks the early years</w:t>
            </w:r>
          </w:p>
        </w:tc>
      </w:tr>
    </w:tbl>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11 — People, Partnerships &amp; Steppe Connect</w:t>
      </w:r>
    </w:p>
    <w:p>
      <w:pPr>
        <w:pStyle w:val="Heading2"/>
        <w:spacing w:after="120" w:before="360"/>
      </w:pPr>
      <w:r>
        <w:rPr>
          <w:rFonts w:ascii="Arial" w:cs="Arial" w:eastAsia="Arial" w:hAnsi="Arial"/>
          <w:b/>
          <w:bCs/>
          <w:color w:val="3D5040"/>
          <w:sz w:val="24"/>
          <w:szCs w:val="24"/>
        </w:rPr>
        <w:t xml:space="preserve">Regional Partnership Foundation</w:t>
      </w:r>
    </w:p>
    <w:p>
      <w:pPr>
        <w:spacing w:after="110" w:before="0"/>
        <w:jc w:val="left"/>
      </w:pPr>
      <w:r>
        <w:rPr>
          <w:rFonts w:ascii="Arial" w:cs="Arial" w:eastAsia="Arial" w:hAnsi="Arial"/>
          <w:b w:val="false"/>
          <w:bCs w:val="false"/>
          <w:i w:val="false"/>
          <w:iCs w:val="false"/>
          <w:color w:val="2A2A28"/>
          <w:sz w:val="22"/>
          <w:szCs w:val="22"/>
        </w:rPr>
        <w:t xml:space="preserve">Steppe does not build the ambitious work alone — it joins the coalitions and borrows the regional credibility that already exist, and it shares funding willingly. For connectivity, the bridge program, and the tribal horizon, the right partner is not a convenience but the eligibility itself. Three relationships anchor the rest:</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Connect Central Oregon</w:t>
      </w:r>
      <w:r>
        <w:rPr>
          <w:rFonts w:ascii="Arial" w:cs="Arial" w:eastAsia="Arial" w:hAnsi="Arial"/>
          <w:b w:val="false"/>
          <w:bCs w:val="false"/>
          <w:i w:val="false"/>
          <w:iCs w:val="false"/>
          <w:color w:val="2A2A28"/>
          <w:sz w:val="22"/>
          <w:szCs w:val="22"/>
        </w:rPr>
        <w:t xml:space="preserve"> — a regional capacity-building nonprofit whose pillars — volunteerism, mentoring, innovation, partnerships — fill exactly the gaps a small founding team cannot. Its volunteer network spans 250+ regional organizations across all four Central Oregon counties and Warm Springs. The keystone relationship: a likely source of a board member and warm introductions to nearly everyone else — its role is capacity and connections; it does not itself run a fiscal-sponsorship program</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Oregon Broadband Equity Coalition</w:t>
      </w:r>
      <w:r>
        <w:rPr>
          <w:rFonts w:ascii="Arial" w:cs="Arial" w:eastAsia="Arial" w:hAnsi="Arial"/>
          <w:b w:val="false"/>
          <w:bCs w:val="false"/>
          <w:i w:val="false"/>
          <w:iCs w:val="false"/>
          <w:color w:val="2A2A28"/>
          <w:sz w:val="22"/>
          <w:szCs w:val="22"/>
        </w:rPr>
        <w:t xml:space="preserve"> — an OSU Extension–led statewide coalition of community groups, Tribal Nations, internet providers, and government — free and open to join. Membership embeds Steppe in the network where rural and tribal connectivity work is coordinated and funded; it is the single highest-leverage move for the Connect program</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Economic Development for Central Oregon</w:t>
      </w:r>
      <w:r>
        <w:rPr>
          <w:rFonts w:ascii="Arial" w:cs="Arial" w:eastAsia="Arial" w:hAnsi="Arial"/>
          <w:b w:val="false"/>
          <w:bCs w:val="false"/>
          <w:i w:val="false"/>
          <w:iCs w:val="false"/>
          <w:color w:val="2A2A28"/>
          <w:sz w:val="22"/>
          <w:szCs w:val="22"/>
        </w:rPr>
        <w:t xml:space="preserve"> — the region’s economic-development backbone and the bridge to Business Oregon, employer internship hosts, and the connectivity-as-economic-development framing that opens infrastructure funding</w:t>
      </w:r>
    </w:p>
    <w:p>
      <w:pPr>
        <w:spacing w:after="6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FUNDING-SHARING POSTURE</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Steppe is glad to be a subawardee, co-applicant, or deployment partner rather than always the lead. For the ambitious work, shared funding through an established partner is faster and more credible than going alone — and stated openly, it makes Steppe the kind of partner these organizations want.</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Internships &amp; Scholarships</w:t>
      </w:r>
    </w:p>
    <w:p>
      <w:pPr>
        <w:spacing w:after="110" w:before="0"/>
        <w:jc w:val="left"/>
      </w:pPr>
      <w:r>
        <w:rPr>
          <w:rFonts w:ascii="Arial" w:cs="Arial" w:eastAsia="Arial" w:hAnsi="Arial"/>
          <w:b w:val="false"/>
          <w:bCs w:val="false"/>
          <w:i w:val="false"/>
          <w:iCs w:val="false"/>
          <w:color w:val="2A2A28"/>
          <w:sz w:val="22"/>
          <w:szCs w:val="22"/>
        </w:rPr>
        <w:t xml:space="preserve">Three paid internship tracks — Tech, Community, and Data — above Oregon minimum wage, with a public end-of-summer showcase and a pipeline to part-time roles. The legible-codebase commitment exists partly for this: the platform is built to be maintained by the community’s own students. Three scholarships support the mission — a Community Builder award, a Rural Digital Access award, and a Trades &amp; Technical award. Each becomes grant-fundable under charitable status, and each is itself a charitable activity that strengthens the exemption.</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College &amp; Makerspace Partnerships (2027+)</w:t>
      </w:r>
    </w:p>
    <w:p>
      <w:pPr>
        <w:spacing w:after="110" w:before="0"/>
        <w:jc w:val="left"/>
      </w:pPr>
      <w:r>
        <w:rPr>
          <w:rFonts w:ascii="Arial" w:cs="Arial" w:eastAsia="Arial" w:hAnsi="Arial"/>
          <w:b w:val="false"/>
          <w:bCs w:val="false"/>
          <w:i w:val="false"/>
          <w:iCs w:val="false"/>
          <w:color w:val="2A2A28"/>
          <w:sz w:val="22"/>
          <w:szCs w:val="22"/>
        </w:rPr>
        <w:t xml:space="preserve">Central Oregon holds unusually deep fabrication and technical-education capacity for a rural region, and much of it sits in Steppe’s launch town: COCC’s 26,000-square-foot Manufacturing &amp; Applied Technology Center and 34,000-square-foot Redmond Technology Education Center — with apprenticeship programs and a mobile classroom that already reaches Madras, Prineville, and La Pine — are in Redmond. OSU-Cascades operates a full-capability makerspace and prototyping studio in Bend; DIYcave adds a 9,000-square-foot community shop; and the Deschutes Public Library runs free makerspaces in Redmond and Bend. Steppe’s role in this ecosystem is the community anchor, formalized by MOU:</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Internship pipeline alignment</w:t>
      </w:r>
      <w:r>
        <w:rPr>
          <w:rFonts w:ascii="Arial" w:cs="Arial" w:eastAsia="Arial" w:hAnsi="Arial"/>
          <w:b w:val="false"/>
          <w:bCs w:val="false"/>
          <w:i w:val="false"/>
          <w:iCs w:val="false"/>
          <w:color w:val="2A2A28"/>
          <w:sz w:val="22"/>
          <w:szCs w:val="22"/>
        </w:rPr>
        <w:t xml:space="preserve"> — Steppe’s paid internship tracks connect to COCC’s CIS internship course and apprenticeship programs and to OSU-Cascades’ trained-student client-project model — students earn credit and pay maintaining real civic infrastructure their own community owns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Community partner for the regional data-literacy bridge</w:t>
      </w:r>
      <w:r>
        <w:rPr>
          <w:rFonts w:ascii="Arial" w:cs="Arial" w:eastAsia="Arial" w:hAnsi="Arial"/>
          <w:b w:val="false"/>
          <w:bCs w:val="false"/>
          <w:i w:val="false"/>
          <w:iCs w:val="false"/>
          <w:color w:val="2A2A28"/>
          <w:sz w:val="22"/>
          <w:szCs w:val="22"/>
        </w:rPr>
        <w:t xml:space="preserve"> — area institutions are developing a mastery-based, offline-capable data-literacy pathway pairing community-college and university programs with makerspace fabrication. That work is college-led and federally funded through institutional channels; Steppe participates as the community partner — deployment sites, internship placements, letters of collaboration, and possibly a modest community-partner subaward — never as the lead applicant</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Community access-device builds</w:t>
      </w:r>
      <w:r>
        <w:rPr>
          <w:rFonts w:ascii="Arial" w:cs="Arial" w:eastAsia="Arial" w:hAnsi="Arial"/>
          <w:b w:val="false"/>
          <w:bCs w:val="false"/>
          <w:i w:val="false"/>
          <w:iCs w:val="false"/>
          <w:color w:val="2A2A28"/>
          <w:sz w:val="22"/>
          <w:szCs w:val="22"/>
        </w:rPr>
        <w:t xml:space="preserve"> — makerspace-fabricated kits — single-board computers in student-designed enclosures — deployed as library and community-center access points for the Connect program: hardware the community made, in shells its students designed, running infrastructure its members own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Shared-commons governance</w:t>
      </w:r>
      <w:r>
        <w:rPr>
          <w:rFonts w:ascii="Arial" w:cs="Arial" w:eastAsia="Arial" w:hAnsi="Arial"/>
          <w:b w:val="false"/>
          <w:bCs w:val="false"/>
          <w:i w:val="false"/>
          <w:iCs w:val="false"/>
          <w:color w:val="2A2A28"/>
          <w:sz w:val="22"/>
          <w:szCs w:val="22"/>
        </w:rPr>
        <w:t xml:space="preserve"> — access tiers, tool certification, and cross-institution rules are a commons-governance problem Steppe’s charter already knows how to think about; the MOUs apply the same design principles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Who to approach</w:t>
      </w:r>
      <w:r>
        <w:rPr>
          <w:rFonts w:ascii="Arial" w:cs="Arial" w:eastAsia="Arial" w:hAnsi="Arial"/>
          <w:b w:val="false"/>
          <w:bCs w:val="false"/>
          <w:i w:val="false"/>
          <w:iCs w:val="false"/>
          <w:color w:val="2A2A28"/>
          <w:sz w:val="22"/>
          <w:szCs w:val="22"/>
        </w:rPr>
        <w:t xml:space="preserve"> — the colleges are entered through their outward-facing units, not cold department emails: at OSU-Cascades, the Innovation Co-Lab (an incubator for nonprofits with a student software consultancy), then the Makerspace and Computer Science program; at COCC, the Center for Business, Industry &amp; Professional Development for MOUs, the CIS department chair for the credit-bearing internship course, and the Redmond Manufacturing &amp; Applied Technology Center — whose mobile tool shop already reaches Madras, Prineville, and La Pine — for fabrication and rural device-build events</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Steppe Connect — Rural Digital Access</w:t>
      </w:r>
    </w:p>
    <w:p>
      <w:pPr>
        <w:spacing w:after="110" w:before="0"/>
        <w:jc w:val="left"/>
      </w:pPr>
      <w:r>
        <w:rPr>
          <w:rFonts w:ascii="Arial" w:cs="Arial" w:eastAsia="Arial" w:hAnsi="Arial"/>
          <w:b w:val="false"/>
          <w:bCs w:val="false"/>
          <w:i w:val="false"/>
          <w:iCs w:val="false"/>
          <w:color w:val="2A2A28"/>
          <w:sz w:val="22"/>
          <w:szCs w:val="22"/>
        </w:rPr>
        <w:t xml:space="preserve">A platform is only as public as the connection beneath it, and Central Oregon’s rural towns sit on the wrong side of that line. Connect is the program arm that extends Steppe from software into access — entirely grant-funded by rule, never dues: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Offline-first by design</w:t>
      </w:r>
      <w:r>
        <w:rPr>
          <w:rFonts w:ascii="Arial" w:cs="Arial" w:eastAsia="Arial" w:hAnsi="Arial"/>
          <w:b w:val="false"/>
          <w:bCs w:val="false"/>
          <w:i w:val="false"/>
          <w:iCs w:val="false"/>
          <w:color w:val="2A2A28"/>
          <w:sz w:val="22"/>
          <w:szCs w:val="22"/>
        </w:rPr>
        <w:t xml:space="preserve"> — the platform already ships as an offline-capable application — rural and intermittent connections are a first-class design constraint, not an afterthought</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Community connectivity pilots (2028+)</w:t>
      </w:r>
      <w:r>
        <w:rPr>
          <w:rFonts w:ascii="Arial" w:cs="Arial" w:eastAsia="Arial" w:hAnsi="Arial"/>
          <w:b w:val="false"/>
          <w:bCs w:val="false"/>
          <w:i w:val="false"/>
          <w:iCs w:val="false"/>
          <w:color w:val="2A2A28"/>
          <w:sz w:val="22"/>
          <w:szCs w:val="22"/>
        </w:rPr>
        <w:t xml:space="preserve"> — public access points at libraries, community centers, and fairgrounds in partner towns, built with makerspace-fabricated hardware and deployed with local partners — including the region’s cooperatives, the natural allies for rural last-mile work</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Deployment-scale projects</w:t>
      </w:r>
      <w:r>
        <w:rPr>
          <w:rFonts w:ascii="Arial" w:cs="Arial" w:eastAsia="Arial" w:hAnsi="Arial"/>
          <w:b w:val="false"/>
          <w:bCs w:val="false"/>
          <w:i w:val="false"/>
          <w:iCs w:val="false"/>
          <w:color w:val="2A2A28"/>
          <w:sz w:val="22"/>
          <w:szCs w:val="22"/>
        </w:rPr>
        <w:t xml:space="preserve"> — pursued under the government-funding posture (sequenced, infrastructure-only, radically disclosed) with deployment-shaped partners — rural utility cooperatives, the Oregon Broadband Office, and USDA community-connectivity programs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Named partners</w:t>
      </w:r>
      <w:r>
        <w:rPr>
          <w:rFonts w:ascii="Arial" w:cs="Arial" w:eastAsia="Arial" w:hAnsi="Arial"/>
          <w:b w:val="false"/>
          <w:bCs w:val="false"/>
          <w:i w:val="false"/>
          <w:iCs w:val="false"/>
          <w:color w:val="2A2A28"/>
          <w:sz w:val="22"/>
          <w:szCs w:val="22"/>
        </w:rPr>
        <w:t xml:space="preserve"> — the Oregon Broadband Equity Coalition (the network to join first); Link Oregon, a nonprofit already serving Oregon’s tribal, education, and nonprofit sectors with network services, met through the coalition; Central Electric Cooperative, the Redmond-based member-owned cooperative and the philosophically aligned last-mile ally; and Free Geek, the statewide nonprofit device refurbisher and digital-navigator model for sourcing affordable access-point hardware</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The Tribal Digital Sovereignty Program</w:t>
      </w:r>
    </w:p>
    <w:p>
      <w:pPr>
        <w:spacing w:after="110" w:before="0"/>
        <w:jc w:val="left"/>
      </w:pPr>
      <w:r>
        <w:rPr>
          <w:rFonts w:ascii="Arial" w:cs="Arial" w:eastAsia="Arial" w:hAnsi="Arial"/>
          <w:b w:val="false"/>
          <w:bCs w:val="false"/>
          <w:i w:val="false"/>
          <w:iCs w:val="false"/>
          <w:color w:val="2A2A28"/>
          <w:sz w:val="22"/>
          <w:szCs w:val="22"/>
        </w:rPr>
        <w:t xml:space="preserve">The long-horizon commitment, now stated precisely: complete tribal ownership. Not managed services, not a white label, not a partnership where the assets stay with Steppe — ownership of all four layers, deeded: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platform</w:t>
      </w:r>
      <w:r>
        <w:rPr>
          <w:rFonts w:ascii="Arial" w:cs="Arial" w:eastAsia="Arial" w:hAnsi="Arial"/>
          <w:b w:val="false"/>
          <w:bCs w:val="false"/>
          <w:i w:val="false"/>
          <w:iCs w:val="false"/>
          <w:color w:val="2A2A28"/>
          <w:sz w:val="22"/>
          <w:szCs w:val="22"/>
        </w:rPr>
        <w:t xml:space="preserve"> — a tribally-owned fork of the codebase, with full intellectual-property transfer</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infrastructure</w:t>
      </w:r>
      <w:r>
        <w:rPr>
          <w:rFonts w:ascii="Arial" w:cs="Arial" w:eastAsia="Arial" w:hAnsi="Arial"/>
          <w:b w:val="false"/>
          <w:bCs w:val="false"/>
          <w:i w:val="false"/>
          <w:iCs w:val="false"/>
          <w:color w:val="2A2A28"/>
          <w:sz w:val="22"/>
          <w:szCs w:val="22"/>
        </w:rPr>
        <w:t xml:space="preserve"> — network assets and equipment built to boost internet access on tribal lands, owned by the Tribes outright</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data</w:t>
      </w:r>
      <w:r>
        <w:rPr>
          <w:rFonts w:ascii="Arial" w:cs="Arial" w:eastAsia="Arial" w:hAnsi="Arial"/>
          <w:b w:val="false"/>
          <w:bCs w:val="false"/>
          <w:i w:val="false"/>
          <w:iCs w:val="false"/>
          <w:color w:val="2A2A28"/>
          <w:sz w:val="22"/>
          <w:szCs w:val="22"/>
        </w:rPr>
        <w:t xml:space="preserve"> — held under tribal data sovereignty from the first byte — no copy retained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governance</w:t>
      </w:r>
      <w:r>
        <w:rPr>
          <w:rFonts w:ascii="Arial" w:cs="Arial" w:eastAsia="Arial" w:hAnsi="Arial"/>
          <w:b w:val="false"/>
          <w:bCs w:val="false"/>
          <w:i w:val="false"/>
          <w:iCs w:val="false"/>
          <w:color w:val="2A2A28"/>
          <w:sz w:val="22"/>
          <w:szCs w:val="22"/>
        </w:rPr>
        <w:t xml:space="preserve"> — the fork governed entirely by the tribal community, under whatever model it chooses; Steppe’s role is temporary technical partner with a written exit</w:t>
      </w:r>
    </w:p>
    <w:p>
      <w:pPr>
        <w:spacing w:after="40" w:before="0"/>
        <w:jc w:val="left"/>
      </w:pPr>
      <w:r>
        <w:rPr>
          <w:rFonts w:ascii="Arial" w:cs="Arial" w:eastAsia="Arial" w:hAnsi="Arial"/>
          <w:b w:val="false"/>
          <w:bCs w:val="false"/>
          <w:i w:val="false"/>
          <w:iCs w:val="false"/>
          <w:color w:val="2A2A28"/>
          <w:sz w:val="22"/>
          <w:szCs w:val="22"/>
        </w:rPr>
        <w:t xml:space="preserve"/>
      </w:r>
    </w:p>
    <w:p>
      <w:pPr>
        <w:spacing w:after="110" w:before="0"/>
        <w:jc w:val="left"/>
      </w:pPr>
      <w:r>
        <w:rPr>
          <w:rFonts w:ascii="Arial" w:cs="Arial" w:eastAsia="Arial" w:hAnsi="Arial"/>
          <w:b w:val="false"/>
          <w:bCs w:val="false"/>
          <w:i w:val="false"/>
          <w:iCs w:val="false"/>
          <w:color w:val="2A2A28"/>
          <w:sz w:val="22"/>
          <w:szCs w:val="22"/>
        </w:rPr>
        <w:t xml:space="preserve">The honest first step is relationship, not outreach with a plan. It begins through the Warm Springs Community Action Team — a tribal-member-led nonprofit on the reservation already doing information-technology and manufacturing workforce development, with grant capacity on staff — and through the Tribal Nation members of the broadband coalition. Steppe listens for years before it proposes anything, and any platform or infrastructure conversation is the community’s to raise, on its timeline.</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3D5040" w:sz="1"/>
              <w:left w:val="single" w:color="3D5040" w:sz="1"/>
              <w:bottom w:val="single" w:color="3D5040" w:sz="1"/>
              <w:right w:val="single" w:color="3D5040" w:sz="1"/>
            </w:tcBorders>
            <w:shd w:fill="3D5040"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FFFFFF"/>
                <w:sz w:val="18"/>
                <w:szCs w:val="18"/>
              </w:rPr>
              <w:t xml:space="preserve">SEQUENCE — UNCHANGED</w:t>
            </w:r>
          </w:p>
        </w:tc>
        <w:tc>
          <w:tcPr>
            <w:tcW w:type="dxa" w:w="7860"/>
            <w:tcBorders>
              <w:top w:val="single" w:color="3D5040" w:sz="1"/>
              <w:left w:val="single" w:color="3D5040" w:sz="1"/>
              <w:bottom w:val="single" w:color="3D5040" w:sz="1"/>
              <w:right w:val="single" w:color="3D5040" w:sz="1"/>
            </w:tcBorders>
            <w:shd w:fill="FAF8F4"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Questions before proposals. Formal engagement with the Confederated Tribes of Warm Springs’ council precedes any design, any grant application, and any commitment — and begins only from Steppe’s own organizational stability (2029 horizon). Funding runs through tribal-eligible channels co-applied with the Tribes as lead — state broadband set-asides and federal rural-connectivity programs — and never touches Steppe’s operating budget. This page exists for the board and funders; the Tribes hear questions first, not plans.</w:t>
            </w:r>
          </w:p>
        </w:tc>
      </w:tr>
    </w:tbl>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Town-by-Town Expansion</w:t>
      </w:r>
    </w:p>
    <w:p>
      <w:pPr>
        <w:spacing w:after="110" w:before="0"/>
        <w:jc w:val="left"/>
      </w:pPr>
      <w:r>
        <w:rPr>
          <w:rFonts w:ascii="Arial" w:cs="Arial" w:eastAsia="Arial" w:hAnsi="Arial"/>
          <w:b w:val="false"/>
          <w:bCs w:val="false"/>
          <w:i w:val="false"/>
          <w:iCs w:val="false"/>
          <w:color w:val="2A2A28"/>
          <w:sz w:val="22"/>
          <w:szCs w:val="22"/>
        </w:rPr>
        <w:t xml:space="preserve">Expansion remains by petition and dual vote under the twelve-community cap. The Connect program does not change the cap or the sequence — access work can precede or follow a town’s membership, but platform expansion is always the community’s own vote.</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12 — Open Questions</w:t>
      </w:r>
    </w:p>
    <w:p>
      <w:pPr>
        <w:pStyle w:val="Heading2"/>
        <w:spacing w:after="120" w:before="360"/>
      </w:pPr>
      <w:r>
        <w:rPr>
          <w:rFonts w:ascii="Arial" w:cs="Arial" w:eastAsia="Arial" w:hAnsi="Arial"/>
          <w:b/>
          <w:bCs/>
          <w:color w:val="3D5040"/>
          <w:sz w:val="24"/>
          <w:szCs w:val="24"/>
        </w:rPr>
        <w:t xml:space="preserve">Resolved</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Legal form: member-governed nonprofit from formation · No conversion event · Founder anchor: paid Founding ED + founder seat + bounded protection period (sunset at the earlier of six years or 3,500 members sustained four quarters; negative-power concurrence over only entrenched-commitment amendments, dissolution/merger/asset sales, and lowering the amendment threshold) · Dues: flat $4/mo, billed annually or by ACH, with a no-documentation hardship waiver and three member-directed contribution buckets (sliding scale retired) · Moderator honoraria: $50–100/mo, capped at 8% of operating expenses, three-moderator minimum, staggered terms · Compensation ceiling: $95,000 fixed-dollar, 3% COLA · Fiscal-sponsor bridge: a national Model C civic-technology sponsor · Multi-town governance: deferred-activation provision · Government money: accepted, sequenced last, radically transparent · Founding board: Chism, Cobb, Weimer</w:t>
      </w:r>
    </w:p>
    <w:p>
      <w:pPr>
        <w:pStyle w:val="Heading2"/>
        <w:spacing w:after="120" w:before="360"/>
      </w:pPr>
      <w:r>
        <w:rPr>
          <w:rFonts w:ascii="Arial" w:cs="Arial" w:eastAsia="Arial" w:hAnsi="Arial"/>
          <w:b/>
          <w:bCs/>
          <w:color w:val="3D5040"/>
          <w:sz w:val="24"/>
          <w:szCs w:val="24"/>
        </w:rPr>
        <w:t xml:space="preserve">Needing a Decision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Weimer’s acceptance — formation-blocking; cohort-pool fallback if he declines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Counsel selection — one Oregon nonprofit attorney for articles, bylaws, dues framing, and Terms</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Exchange name with Redmond Compass · petition threshold for new towns</w:t>
      </w:r>
    </w:p>
    <w:p>
      <w:pPr>
        <w:pStyle w:val="Heading2"/>
        <w:spacing w:after="120" w:before="360"/>
      </w:pPr>
      <w:r>
        <w:rPr>
          <w:rFonts w:ascii="Arial" w:cs="Arial" w:eastAsia="Arial" w:hAnsi="Arial"/>
          <w:b/>
          <w:bCs/>
          <w:color w:val="3D5040"/>
          <w:sz w:val="24"/>
          <w:szCs w:val="24"/>
        </w:rPr>
        <w:t xml:space="preserve">Needing Work</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Spanish native-speaker review · legal sign-off on Terms · brand palette + contrast pass · dry-run execution · youth account linkage and age-out design · emergency-alert delivery architecture · archive curation policy (with Warm Springs consultation)</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Connect program — verify OSU-Cascades makerspace external-access policy and COCC partnership pathway; identify the rural cooperative deployment partner (Central Electric Cooperative the first call); confirm electronics-bench capacity for device builds (a documented gap across all regional makerspaces, and itself a fundable equipment ask); decide whether Steppe should ever serve as a Crook County grant-routing partner once Prineville is in petition range</w:t>
      </w:r>
    </w:p>
    <w:p>
      <w:pPr>
        <w:pStyle w:val="ListParagraph"/>
        <w:numPr>
          <w:ilvl w:val="0"/>
          <w:numId w:val="2"/>
        </w:numPr>
        <w:spacing w:after="70" w:before="0"/>
      </w:pPr>
      <w:r>
        <w:rPr>
          <w:rFonts w:ascii="Arial" w:cs="Arial" w:eastAsia="Arial" w:hAnsi="Arial"/>
          <w:b w:val="false"/>
          <w:bCs w:val="false"/>
          <w:i w:val="false"/>
          <w:iCs w:val="false"/>
          <w:color w:val="2A2A28"/>
          <w:sz w:val="22"/>
          <w:szCs w:val="22"/>
        </w:rPr>
        <w:t xml:space="preserve">Partnerships — confirm the current OSU-Cascades Innovation Co-Lab director (recent leadership transition); verify the broadband coalition’s nonprofit-formation status, which may change how Steppe engages it</w:t>
      </w:r>
    </w:p>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13 — Sources &amp; Influences</w:t>
      </w:r>
    </w:p>
    <w:p>
      <w:pPr>
        <w:spacing w:after="110" w:before="0"/>
        <w:jc w:val="left"/>
      </w:pPr>
      <w:r>
        <w:rPr>
          <w:rFonts w:ascii="Arial" w:cs="Arial" w:eastAsia="Arial" w:hAnsi="Arial"/>
          <w:b w:val="false"/>
          <w:bCs w:val="false"/>
          <w:i w:val="false"/>
          <w:iCs w:val="false"/>
          <w:color w:val="2A2A28"/>
          <w:sz w:val="22"/>
          <w:szCs w:val="22"/>
        </w:rPr>
        <w:t xml:space="preserve">Steppe’s principles draw on a body of work in systems thinking, commons governance, political economy, and design. The ideas are credited here so the body of the plan can read in Steppe’s own voice while the intellectual debts remain clear.</w:t>
      </w:r>
    </w:p>
    <w:p>
      <w:pPr>
        <w:spacing w:after="40" w:before="0"/>
        <w:jc w:val="left"/>
      </w:pPr>
      <w:r>
        <w:rPr>
          <w:rFonts w:ascii="Arial" w:cs="Arial" w:eastAsia="Arial" w:hAnsi="Arial"/>
          <w:b w:val="false"/>
          <w:bCs w:val="false"/>
          <w:i w:val="false"/>
          <w:iCs w:val="false"/>
          <w:color w:val="2A2A2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Principle</w:t>
            </w:r>
          </w:p>
        </w:tc>
        <w:tc>
          <w:tcPr>
            <w:tcW w:type="dxa" w:w="59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Drawn from</w:t>
            </w:r>
          </w:p>
        </w:tc>
      </w:tr>
      <w:tr>
        <w:tc>
          <w:tcPr>
            <w:tcW w:type="dxa" w:w="3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Anti-extraction by structure</w:t>
            </w:r>
          </w:p>
        </w:tc>
        <w:tc>
          <w:tcPr>
            <w:tcW w:type="dxa" w:w="5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Cory Doctorow, on platform decay (“enshittification”)</w:t>
            </w:r>
          </w:p>
        </w:tc>
      </w:tr>
      <w:tr>
        <w:tc>
          <w:tcPr>
            <w:tcW w:type="dxa" w:w="3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Trust is a stock</w:t>
            </w:r>
          </w:p>
        </w:tc>
        <w:tc>
          <w:tcPr>
            <w:tcW w:type="dxa" w:w="5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Donella Meadows, Thinking in Systems</w:t>
            </w:r>
          </w:p>
        </w:tc>
      </w:tr>
      <w:tr>
        <w:tc>
          <w:tcPr>
            <w:tcW w:type="dxa" w:w="3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 commons can be governed</w:t>
            </w:r>
          </w:p>
        </w:tc>
        <w:tc>
          <w:tcPr>
            <w:tcW w:type="dxa" w:w="5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Elinor Ostrom, Governing the Commons (the eight design principles)</w:t>
            </w:r>
          </w:p>
        </w:tc>
      </w:tr>
      <w:tr>
        <w:tc>
          <w:tcPr>
            <w:tcW w:type="dxa" w:w="3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Legibility must serve the governed</w:t>
            </w:r>
          </w:p>
        </w:tc>
        <w:tc>
          <w:tcPr>
            <w:tcW w:type="dxa" w:w="5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James C. Scott, Seeing Like a State (and the mētis / epistēmē distinction)</w:t>
            </w:r>
          </w:p>
        </w:tc>
      </w:tr>
      <w:tr>
        <w:tc>
          <w:tcPr>
            <w:tcW w:type="dxa" w:w="3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Voice, not silent exit</w:t>
            </w:r>
          </w:p>
        </w:tc>
        <w:tc>
          <w:tcPr>
            <w:tcW w:type="dxa" w:w="5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Albert O. Hirschman, Exit, Voice, and Loyalty</w:t>
            </w:r>
          </w:p>
        </w:tc>
      </w:tr>
      <w:tr>
        <w:tc>
          <w:tcPr>
            <w:tcW w:type="dxa" w:w="3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Ownership structure is destiny</w:t>
            </w:r>
          </w:p>
        </w:tc>
        <w:tc>
          <w:tcPr>
            <w:tcW w:type="dxa" w:w="5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Mehrsa Baradaran, on ownership and capture (The Quiet Coup)</w:t>
            </w:r>
          </w:p>
        </w:tc>
      </w:tr>
      <w:tr>
        <w:tc>
          <w:tcPr>
            <w:tcW w:type="dxa" w:w="34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Convivial tools</w:t>
            </w:r>
          </w:p>
        </w:tc>
        <w:tc>
          <w:tcPr>
            <w:tcW w:type="dxa" w:w="59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Ivan Illich, Tools for Conviviality</w:t>
            </w:r>
          </w:p>
        </w:tc>
      </w:tr>
      <w:tr>
        <w:tc>
          <w:tcPr>
            <w:tcW w:type="dxa" w:w="34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Design knowledge lives in patterns</w:t>
            </w:r>
          </w:p>
        </w:tc>
        <w:tc>
          <w:tcPr>
            <w:tcW w:type="dxa" w:w="59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Christopher Alexander, A Pattern Language</w:t>
            </w:r>
          </w:p>
        </w:tc>
      </w:tr>
    </w:tbl>
    <w:p>
      <w:pPr>
        <w:spacing w:after="0" w:before="0"/>
      </w:pPr>
      <w:r>
        <w:br w:type="page"/>
      </w:r>
    </w:p>
    <w:p>
      <w:pPr>
        <w:pStyle w:val="Heading1"/>
        <w:pBdr>
          <w:bottom w:val="single" w:color="3D5040" w:sz="6" w:space="5"/>
        </w:pBdr>
        <w:spacing w:after="170" w:before="540"/>
      </w:pPr>
      <w:r>
        <w:rPr>
          <w:rFonts w:ascii="Arial" w:cs="Arial" w:eastAsia="Arial" w:hAnsi="Arial"/>
          <w:b/>
          <w:bCs/>
          <w:color w:val="3D5040"/>
          <w:sz w:val="31"/>
          <w:szCs w:val="31"/>
        </w:rPr>
        <w:t xml:space="preserve">14 — Governance Charter v2: What Changed</w:t>
      </w:r>
    </w:p>
    <w:p>
      <w:pPr>
        <w:spacing w:after="110" w:before="0"/>
        <w:jc w:val="left"/>
      </w:pPr>
      <w:r>
        <w:rPr>
          <w:rFonts w:ascii="Arial" w:cs="Arial" w:eastAsia="Arial" w:hAnsi="Arial"/>
          <w:b w:val="false"/>
          <w:bCs w:val="false"/>
          <w:i w:val="false"/>
          <w:iCs w:val="false"/>
          <w:color w:val="2A2A28"/>
          <w:sz w:val="22"/>
          <w:szCs w:val="22"/>
        </w:rPr>
        <w:t xml:space="preserve">The charter is updated in lockstep with this plan. The material changes from v1:</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board exists from day one</w:t>
      </w:r>
      <w:r>
        <w:rPr>
          <w:rFonts w:ascii="Arial" w:cs="Arial" w:eastAsia="Arial" w:hAnsi="Arial"/>
          <w:b w:val="false"/>
          <w:bCs w:val="false"/>
          <w:i w:val="false"/>
          <w:iCs w:val="false"/>
          <w:color w:val="2A2A28"/>
          <w:sz w:val="22"/>
          <w:szCs w:val="22"/>
        </w:rPr>
        <w:t xml:space="preserve"> — retitled from “Board (Post-Conversion).” Adds the named founding board, the independence and conflict provisions, and the mandated transition to member-elected seats within 24 months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Executive Director role</w:t>
      </w:r>
      <w:r>
        <w:rPr>
          <w:rFonts w:ascii="Arial" w:cs="Arial" w:eastAsia="Arial" w:hAnsi="Arial"/>
          <w:b w:val="false"/>
          <w:bCs w:val="false"/>
          <w:i w:val="false"/>
          <w:iCs w:val="false"/>
          <w:color w:val="2A2A28"/>
          <w:sz w:val="22"/>
          <w:szCs w:val="22"/>
        </w:rPr>
        <w:t xml:space="preserve"> — added as a defined section — the founder’s salaried, contracted, curatorial role, distinct from the board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Founder-Protection Period</w:t>
      </w:r>
      <w:r>
        <w:rPr>
          <w:rFonts w:ascii="Arial" w:cs="Arial" w:eastAsia="Arial" w:hAnsi="Arial"/>
          <w:b w:val="false"/>
          <w:bCs w:val="false"/>
          <w:i w:val="false"/>
          <w:iCs w:val="false"/>
          <w:color w:val="2A2A28"/>
          <w:sz w:val="22"/>
          <w:szCs w:val="22"/>
        </w:rPr>
        <w:t xml:space="preserve"> — added — a bounded, sunsetting protection for the founding era</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The Community Fund</w:t>
      </w:r>
      <w:r>
        <w:rPr>
          <w:rFonts w:ascii="Arial" w:cs="Arial" w:eastAsia="Arial" w:hAnsi="Arial"/>
          <w:b w:val="false"/>
          <w:bCs w:val="false"/>
          <w:i w:val="false"/>
          <w:iCs w:val="false"/>
          <w:color w:val="2A2A28"/>
          <w:sz w:val="22"/>
          <w:szCs w:val="22"/>
        </w:rPr>
        <w:t xml:space="preserve"> — replaces the conversion machinery; the giving waterfall and annual ranked-choice selection are retained, the conversion trigger deleted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Government funding</w:t>
      </w:r>
      <w:r>
        <w:rPr>
          <w:rFonts w:ascii="Arial" w:cs="Arial" w:eastAsia="Arial" w:hAnsi="Arial"/>
          <w:b w:val="false"/>
          <w:bCs w:val="false"/>
          <w:i w:val="false"/>
          <w:iCs w:val="false"/>
          <w:color w:val="2A2A28"/>
          <w:sz w:val="22"/>
          <w:szCs w:val="22"/>
        </w:rPr>
        <w:t xml:space="preserve"> — a transparency clause added — government money is permitted, sequenced, and subject to full public disclosure of every condition</w:t>
      </w:r>
    </w:p>
    <w:p>
      <w:pPr>
        <w:spacing w:after="240" w:before="0"/>
        <w:jc w:val="left"/>
      </w:pPr>
      <w:r>
        <w:rPr>
          <w:rFonts w:ascii="Arial" w:cs="Arial" w:eastAsia="Arial" w:hAnsi="Arial"/>
          <w:b w:val="false"/>
          <w:bCs w:val="false"/>
          <w:i w:val="false"/>
          <w:iCs w:val="false"/>
          <w:color w:val="2A2A28"/>
          <w:sz w:val="22"/>
          <w:szCs w:val="22"/>
        </w:rPr>
        <w:t xml:space="preserve"/>
      </w:r>
    </w:p>
    <w:p>
      <w:pPr>
        <w:pBdr>
          <w:top w:val="single" w:color="CCCCCC" w:sz="4" w:space="8"/>
        </w:pBdr>
        <w:spacing w:after="0" w:before="360"/>
        <w:jc w:val="center"/>
      </w:pPr>
      <w:r>
        <w:rPr>
          <w:rFonts w:ascii="Arial" w:cs="Arial" w:eastAsia="Arial" w:hAnsi="Arial"/>
          <w:color w:val="9A9080"/>
          <w:sz w:val="18"/>
          <w:szCs w:val="18"/>
        </w:rPr>
        <w:t xml:space="preserve">STEPPE · Digital Civic Infrastructure · Business Plan v12 · June 2026 · Living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9A9080"/>
        <w:sz w:val="16"/>
        <w:szCs w:val="16"/>
      </w:rPr>
      <w:t xml:space="preserve">Steppe · Business Plan v12 · June 2026  ·  Page </w:t>
    </w:r>
    <w:r>
      <w:rPr>
        <w:rFonts w:ascii="Arial" w:cs="Arial" w:eastAsia="Arial" w:hAnsi="Arial"/>
        <w:color w:val="9A9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540"/>
      <w:outlineLvl w:val="0"/>
    </w:pPr>
    <w:rPr>
      <w:rFonts w:ascii="Arial" w:cs="Arial" w:eastAsia="Arial" w:hAnsi="Arial"/>
      <w:b/>
      <w:bCs/>
      <w:color w:val="3D5040"/>
      <w:sz w:val="31"/>
      <w:szCs w:val="31"/>
    </w:rPr>
  </w:style>
  <w:style w:type="paragraph" w:styleId="Heading2">
    <w:name w:val="Heading 2"/>
    <w:basedOn w:val="Normal"/>
    <w:next w:val="Normal"/>
    <w:qFormat/>
    <w:pPr>
      <w:spacing w:after="120" w:before="360"/>
      <w:outlineLvl w:val="1"/>
    </w:pPr>
    <w:rPr>
      <w:rFonts w:ascii="Arial" w:cs="Arial" w:eastAsia="Arial" w:hAnsi="Arial"/>
      <w:b/>
      <w:bCs/>
      <w:color w:val="3D5040"/>
      <w:sz w:val="24"/>
      <w:szCs w:val="24"/>
    </w:rPr>
  </w:style>
  <w:style w:type="paragraph" w:styleId="Heading3">
    <w:name w:val="Heading 3"/>
    <w:basedOn w:val="Normal"/>
    <w:next w:val="Normal"/>
    <w:qFormat/>
    <w:pPr>
      <w:spacing w:after="80" w:before="240"/>
      <w:outlineLvl w:val="2"/>
    </w:pPr>
    <w:rPr>
      <w:rFonts w:ascii="Arial" w:cs="Arial" w:eastAsia="Arial" w:hAnsi="Arial"/>
      <w:b/>
      <w:bCs/>
      <w:color w:val="5550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2026-06-11T15:46:00.583Z</dcterms:created>
  <dcterms:modified xsi:type="dcterms:W3CDTF">2026-06-11T15:46:00.584Z</dcterms:modified>
</cp:coreProperties>
</file>

<file path=docProps/custom.xml><?xml version="1.0" encoding="utf-8"?>
<Properties xmlns="http://schemas.openxmlformats.org/officeDocument/2006/custom-properties" xmlns:vt="http://schemas.openxmlformats.org/officeDocument/2006/docPropsVTypes"/>
</file>