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E1A16"/>
          <w:sz w:val="46"/>
          <w:szCs w:val="46"/>
        </w:rPr>
        <w:t xml:space="preserve">Steppe</w:t>
      </w:r>
    </w:p>
    <w:p>
      <w:pPr>
        <w:spacing w:after="120"/>
        <w:jc w:val="center"/>
      </w:pPr>
      <w:r>
        <w:rPr>
          <w:rFonts w:ascii="Arial" w:cs="Arial" w:eastAsia="Arial" w:hAnsi="Arial"/>
          <w:i/>
          <w:iCs/>
          <w:color w:val="6B6B6B"/>
          <w:sz w:val="22"/>
          <w:szCs w:val="22"/>
        </w:rPr>
        <w:t xml:space="preserve">a high desert civic commons</w:t>
      </w:r>
    </w:p>
    <w:p>
      <w:pPr>
        <w:spacing w:after="60"/>
        <w:jc w:val="center"/>
      </w:pPr>
      <w:r>
        <w:rPr>
          <w:rFonts w:ascii="Arial" w:cs="Arial" w:eastAsia="Arial" w:hAnsi="Arial"/>
          <w:b/>
          <w:bCs/>
          <w:color w:val="3D6B4A"/>
          <w:sz w:val="30"/>
          <w:szCs w:val="30"/>
        </w:rPr>
        <w:t xml:space="preserve">Funder Eligibility &amp; Cost-Mapping Reference</w:t>
      </w:r>
    </w:p>
    <w:p>
      <w:pPr>
        <w:spacing w:after="60"/>
        <w:jc w:val="center"/>
      </w:pPr>
      <w:r>
        <w:rPr>
          <w:rFonts w:ascii="Arial" w:cs="Arial" w:eastAsia="Arial" w:hAnsi="Arial"/>
          <w:color w:val="6B6B6B"/>
          <w:sz w:val="17"/>
          <w:szCs w:val="17"/>
        </w:rPr>
        <w:t xml:space="preserve">Companion to the Business Plan funding model  ·  Eligibility, cost-mapping &amp; growth-stage funding, base dues $4/mo  ·  v3  ·  June 14, 2026</w:t>
      </w:r>
    </w:p>
    <w:p>
      <w:pPr>
        <w:pBdr>
          <w:bottom w:val="single" w:color="3D6B4A" w:sz="8" w:space="1"/>
        </w:pBdr>
        <w:spacing w:after="220" w:before="80"/>
      </w:pPr>
      <w:r>
        <w:t xml:space="preserve"/>
      </w:r>
    </w:p>
    <w:p>
      <w:pPr>
        <w:spacing w:after="130" w:line="276"/>
      </w:pPr>
      <w:r>
        <w:rPr>
          <w:rFonts w:ascii="Arial" w:cs="Arial" w:eastAsia="Arial" w:hAnsi="Arial"/>
          <w:b/>
          <w:bCs/>
          <w:color w:val="1E1A16"/>
          <w:sz w:val="22"/>
          <w:szCs w:val="22"/>
        </w:rPr>
        <w:t xml:space="preserve">How to read this. </w:t>
      </w:r>
      <w:r>
        <w:rPr>
          <w:rFonts w:ascii="Arial" w:cs="Arial" w:eastAsia="Arial" w:hAnsi="Arial"/>
          <w:color w:val="1E1A16"/>
          <w:sz w:val="22"/>
          <w:szCs w:val="22"/>
        </w:rPr>
        <w:t xml:space="preserve">The Business Plan reserves dues for core operations and assigns foundation grants to capacity and expansion only. This reference puts the eligible-cost detail beneath that rule: for each named funder, what it will and won’t pay for, then a map from Steppe’s early budget lines to the funder best suited to each. All three primary funders accept applications from fiscally-sponsored organizations — the route Steppe will use through its Model C sponsor until its own determination arrives. Figures and windows below should be reconfirmed on each funder’s page before applying.</w:t>
      </w:r>
    </w:p>
    <w:p>
      <w:pPr>
        <w:pStyle w:val="Heading1"/>
        <w:pBdr>
          <w:bottom w:val="single" w:color="3D6B4A" w:sz="8" w:space="6"/>
        </w:pBdr>
        <w:spacing w:after="180" w:before="500"/>
      </w:pPr>
      <w:r>
        <w:rPr>
          <w:rFonts w:ascii="Arial" w:cs="Arial" w:eastAsia="Arial" w:hAnsi="Arial"/>
          <w:b/>
          <w:bCs/>
          <w:color w:val="1E1A16"/>
          <w:sz w:val="30"/>
          <w:szCs w:val="30"/>
        </w:rPr>
        <w:t xml:space="preserve">1 — Funder Profiles</w:t>
      </w:r>
    </w:p>
    <w:p>
      <w:pPr>
        <w:pStyle w:val="Heading2"/>
        <w:spacing w:after="80" w:before="360"/>
      </w:pPr>
      <w:r>
        <w:rPr>
          <w:rFonts w:ascii="Arial" w:cs="Arial" w:eastAsia="Arial" w:hAnsi="Arial"/>
          <w:b/>
          <w:bCs/>
          <w:color w:val="3D6B4A"/>
          <w:sz w:val="24"/>
          <w:szCs w:val="24"/>
        </w:rPr>
        <w:t xml:space="preserve">Oregon Community Foundation — Community Grants</w:t>
      </w:r>
    </w:p>
    <w:p>
      <w:pPr>
        <w:spacing w:after="130"/>
      </w:pPr>
      <w:r>
        <w:rPr>
          <w:rFonts w:ascii="Arial" w:cs="Arial" w:eastAsia="Arial" w:hAnsi="Arial"/>
          <w:i/>
          <w:iCs/>
          <w:color w:val="524840"/>
          <w:sz w:val="21"/>
          <w:szCs w:val="21"/>
        </w:rPr>
        <w:t xml:space="preserve">Statewide community funder; flexible support; weights community input heavily. Two cycles a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Amount</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Up to $40,000.</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Cycle / deadline</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Fall 2026 window is open now: May 26 – June 23, 2026 (5 p.m. PT). New applicants must set up a MyOCF profile first (cutoff was June 18 for this cycle). A spring cycle also runs annually.</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Eligibility &amp; sponsor</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501(c)(3), Tribal, or government entities in Oregon, or based in / primarily serving Oregon; all activities must occur in Oregon. Fiscally-sponsored orgs apply under their OWN org record and submit a sponsorship agreement signed by both parties and dated within the past year. Especially competitive: small rural orgs (population ≤35,000; under $250k operating expenses) and culturally specific organizations.</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Funds (eligible)</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New or expanding programs and projects; capacity building; small capital under $500k (equipment, ADA remodels, outreach vehicles); flexible operating support.</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Excludes</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Individuals; activities outside Oregon; a partial phase of a capital project whose full cost exceeds $500k.</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Best fit for Steppe</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Spanish localization and accessibility (equity); community fieldwork; launch programming; capacity building (board/systems); small capital such as outreach devices.</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Verify</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oregoncf.org → Community Grants Program Guidelines.</w:t>
            </w:r>
          </w:p>
        </w:tc>
      </w:tr>
    </w:tbl>
    <w:p>
      <w:pPr>
        <w:pStyle w:val="Heading2"/>
        <w:spacing w:after="80" w:before="360"/>
      </w:pPr>
      <w:r>
        <w:rPr>
          <w:rFonts w:ascii="Arial" w:cs="Arial" w:eastAsia="Arial" w:hAnsi="Arial"/>
          <w:b/>
          <w:bCs/>
          <w:color w:val="3D6B4A"/>
          <w:sz w:val="24"/>
          <w:szCs w:val="24"/>
        </w:rPr>
        <w:t xml:space="preserve">Roundhouse Foundation — Sisters (closest geographic fit)</w:t>
      </w:r>
    </w:p>
    <w:p>
      <w:pPr>
        <w:spacing w:after="130"/>
      </w:pPr>
      <w:r>
        <w:rPr>
          <w:rFonts w:ascii="Arial" w:cs="Arial" w:eastAsia="Arial" w:hAnsi="Arial"/>
          <w:i/>
          <w:iCs/>
          <w:color w:val="524840"/>
          <w:sz w:val="21"/>
          <w:szCs w:val="21"/>
        </w:rPr>
        <w:t xml:space="preserve">Rural Central Oregon; Sisters is a priority; relationship-first and collaborative. Focus areas: Arts &amp; Culture, Environmental Stewardship, Social Services,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Programs &amp; amounts</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Small Grants $500–$2,500 (rolling, Jan–Nov, reviewed monthly) — grassroots/low-budget work, recommended as the “get to know each other” first ask. Open Call $2,501–$30,000 (median ~$20,000; biannual: spring Jan–Mar, fall Jun–Aug; 12–18-month proposals). Technical Assistance &amp; Professional Development up to $5,000.</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Eligibility &amp; sponsor</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501(c)(3), Tribal, or government entities serving rural Oregon. Fiscally-sponsored orgs ARE eligible but must be actively in pursuit of 501(c)(3) status. One proposal per calendar year; no open grants and none received in the past 12 months.</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Funds (eligible)</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Program/project work; capacity (the TA grant); and — notably — program-aligned infrastructure or equipment, which their guidelines list as including software, through the Open Call.</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Excludes</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Capital facility development through Open Call (except program-aligned equipment); individuals and scholarships; for-profits; faith-based and political groups; endowments; commitments beyond four years; organizations in active litigation or intense public scrutiny.</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Best fit for Steppe</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Small Grant for a discrete fieldwork series or the Sisters pilot; Open Call for launch programming plus program-aligned app/software work; TA grant for board and systems capacity.</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Verify</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roundhousefoundation.org → How to Apply / Eligibility.</w:t>
            </w:r>
          </w:p>
        </w:tc>
      </w:tr>
    </w:tbl>
    <w:p>
      <w:pPr>
        <w:pStyle w:val="Heading2"/>
        <w:spacing w:after="80" w:before="360"/>
      </w:pPr>
      <w:r>
        <w:rPr>
          <w:rFonts w:ascii="Arial" w:cs="Arial" w:eastAsia="Arial" w:hAnsi="Arial"/>
          <w:b/>
          <w:bCs/>
          <w:color w:val="3D6B4A"/>
          <w:sz w:val="24"/>
          <w:szCs w:val="24"/>
        </w:rPr>
        <w:t xml:space="preserve">The Ford Family Foundation — Good Neighbor Grants</w:t>
      </w:r>
    </w:p>
    <w:p>
      <w:pPr>
        <w:spacing w:after="130"/>
      </w:pPr>
      <w:r>
        <w:rPr>
          <w:rFonts w:ascii="Arial" w:cs="Arial" w:eastAsia="Arial" w:hAnsi="Arial"/>
          <w:i/>
          <w:iCs/>
          <w:color w:val="524840"/>
          <w:sz w:val="21"/>
          <w:szCs w:val="21"/>
        </w:rPr>
        <w:t xml:space="preserve">Rural Oregon and Siskiyou County, CA. Priorities: Family, Education, Community (community building, economic development, strengthening organizational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Amount</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Up to $25,000. Rolling — no fixed deadline; decisions in roughly six to ten weeks. Separate Technical Assistance grants also available.</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Eligibility &amp; match</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Rural communities; must show community support (“the community at the table”) and a clear sustainability plan. Key constraint: 25% of the budget committed before applying (in-kind can count, but the strongest requests have other cash at the table).</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Funds (eligible)</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Both program and capital. Up to 1/3 may be requested for programs/operations and up to 50% for capital. Explicitly fundable: capacity-building consultants (strategic planning, board development, leadership transitions, fundraising strategy, fiscal systems); staff training; facility updates including ADA accessibility and technology; emergency repairs.</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Best fit for Steppe</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Fieldwork and launch programming; and especially capacity-building for a brand-new org — board development, fiscal systems, fundraising strategy — plus accessibility/technology. Up to a third can go to operations.</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Watch</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The 25% match is the gating requirement — line up other committed or in-kind funds first. Verify at tfff.org → Open Grants.</w:t>
            </w:r>
          </w:p>
        </w:tc>
      </w:tr>
    </w:tbl>
    <w:p>
      <w:pPr>
        <w:pStyle w:val="Heading2"/>
        <w:spacing w:after="80" w:before="360"/>
      </w:pPr>
      <w:r>
        <w:rPr>
          <w:rFonts w:ascii="Arial" w:cs="Arial" w:eastAsia="Arial" w:hAnsi="Arial"/>
          <w:b/>
          <w:bCs/>
          <w:color w:val="3D6B4A"/>
          <w:sz w:val="24"/>
          <w:szCs w:val="24"/>
        </w:rPr>
        <w:t xml:space="preserve">The Bend Foundation — Bend-area (private foundation)</w:t>
      </w:r>
    </w:p>
    <w:p>
      <w:pPr>
        <w:spacing w:after="130"/>
      </w:pPr>
      <w:r>
        <w:rPr>
          <w:rFonts w:ascii="Arial" w:cs="Arial" w:eastAsia="Arial" w:hAnsi="Arial"/>
          <w:i/>
          <w:iCs/>
          <w:color w:val="524840"/>
          <w:sz w:val="21"/>
          <w:szCs w:val="21"/>
        </w:rPr>
        <w:t xml:space="preserve">Long-standing local Bend-area funder. Public eligibility detail is thin — confirm specifics directly before relying on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Cycles (2026)</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Two windows: Jan 5 – Mar 5 (decision Apr 30) and May 18 – July 17, 2026 (decision Aug 31; grants by Sept 30). The summer window is open now. (Note: my earlier “~November” was wrong — corrected here.)</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Funds / eligibility</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Bend-area community benefit. Specific eligible/excluded costs are not well documented publicly — confirm directly at bendfoundation.org.</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Best fit for Steppe</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A Bend-specific slice — library programming, the Bend launch.</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Also consider</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Separately, the City of Bend Community Sponsorship &amp; Grant Program (municipal; deadlines Mar 31 and Sept 30) funds community programs/events with a clear public purpose and accepts fiscally-sponsored applicants — a small additional source for launch events.</w:t>
            </w:r>
          </w:p>
        </w:tc>
      </w:tr>
    </w:tbl>
    <w:p>
      <w:pPr>
        <w:pStyle w:val="Heading1"/>
        <w:pBdr>
          <w:bottom w:val="single" w:color="3D6B4A" w:sz="8" w:space="6"/>
        </w:pBdr>
        <w:spacing w:after="180" w:before="500"/>
      </w:pPr>
      <w:r>
        <w:rPr>
          <w:rFonts w:ascii="Arial" w:cs="Arial" w:eastAsia="Arial" w:hAnsi="Arial"/>
          <w:b/>
          <w:bCs/>
          <w:color w:val="1E1A16"/>
          <w:sz w:val="30"/>
          <w:szCs w:val="30"/>
        </w:rPr>
        <w:t xml:space="preserve">2 — Mapping Steppe’s Early Costs to Funders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Early cost line</w:t>
            </w:r>
          </w:p>
        </w:tc>
        <w:tc>
          <w:tcPr>
            <w:tcW w:type="dxa" w:w="40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Best-fit funder(s)</w:t>
            </w:r>
          </w:p>
        </w:tc>
        <w:tc>
          <w:tcPr>
            <w:tcW w:type="dxa" w:w="276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Note</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Legal &amp; formation (Articles, DOJ, Form 1023, trademark)</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Mostly dues / donations; Ford Family capacity (fiscal systems, board development) touches org-building</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Filing fees themselves are rarely grant-funded</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Fiscal sponsor fee (5–15%)</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Build into each grant budget as allowable admin</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Not a standalone ask; nets off routed grants</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App — accessibility pass</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OCF (capacity/equity); Ford Family (ADA + technology); Roundhouse Open Call (program-aligned software)</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Frame as access/equity, not “development”</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App — Spanish localization &amp; review</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OCF (culturally-specific/equity); Roundhouse (Social Services); Ford Family (Community)</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Strong equity framing</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Community fieldwork (travel, materials, stipends)</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Roundhouse Small Grant / Open Call; OCF (program); Ford Family (community building)</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Roundhouse Small Grant is the cleanest first ask</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Beta &amp; launch programming</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OCF (new/expanding program); Roundhouse Open Call; Ford Family; Bend Foundation (Bend slice)</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OCF and Open Call carry the largest amounts</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Capacity building (board, fiscal systems, fundraising)</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Ford Family (explicit); Roundhouse TA grant (≤$5k); OCF (capacity building)</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Ford Family is best-tailored here</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Moderation honoraria</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Program budget within OCF / Roundhouse / Ford Family asks</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Frame as program staffing/stipends, not “funds to individuals”</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Outreach devices / equipment</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OCF small capital; Roundhouse program-aligned equipment</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Tie equipment to a named program</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ED salary &amp; core operations</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 unrestricted donations (per BP funding model)</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Ford Family allows up to 1/3 to operations within a project — minor only</w:t>
            </w:r>
          </w:p>
        </w:tc>
      </w:tr>
    </w:tbl>
    <w:p>
      <w:pPr>
        <w:pStyle w:val="Heading1"/>
        <w:pBdr>
          <w:bottom w:val="single" w:color="3D6B4A" w:sz="8" w:space="6"/>
        </w:pBdr>
        <w:spacing w:after="180" w:before="500"/>
      </w:pPr>
      <w:r>
        <w:rPr>
          <w:rFonts w:ascii="Arial" w:cs="Arial" w:eastAsia="Arial" w:hAnsi="Arial"/>
          <w:b/>
          <w:bCs/>
          <w:color w:val="1E1A16"/>
          <w:sz w:val="30"/>
          <w:szCs w:val="30"/>
        </w:rPr>
        <w:t xml:space="preserve">3 — Funding by Growth Stage</w:t>
      </w:r>
    </w:p>
    <w:p>
      <w:pPr>
        <w:spacing w:after="130"/>
      </w:pPr>
      <w:r>
        <w:rPr>
          <w:rFonts w:ascii="Arial" w:cs="Arial" w:eastAsia="Arial" w:hAnsi="Arial"/>
          <w:i/>
          <w:iCs/>
          <w:color w:val="524840"/>
          <w:sz w:val="21"/>
          <w:szCs w:val="21"/>
        </w:rPr>
        <w:t xml:space="preserve">Dues scale with membership and anchor core operations; grants fund capacity and expansion at each stage; founder pay is multi-source and rises only with scale. This reproduces and corrects the earlier stage model — which used the now-retired PBC-to-501(c)(3) conversion framing — and aligns it with the fiscal-sponsor bridge and the funders above. The base membership price is locked at $4/month (billed annually or via ACH); a hardship waiver preserves access and a voluntary contribution layer sits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3660"/>
        <w:gridCol w:w="1400"/>
      </w:tblGrid>
      <w:tr>
        <w:trPr>
          <w:tblHeader/>
        </w:trPr>
        <w:tc>
          <w:tcPr>
            <w:tcW w:type="dxa" w:w="23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Stage &amp; scale</w:t>
            </w:r>
          </w:p>
        </w:tc>
        <w:tc>
          <w:tcPr>
            <w:tcW w:type="dxa" w:w="20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Dues &amp; founder pay</w:t>
            </w:r>
          </w:p>
        </w:tc>
        <w:tc>
          <w:tcPr>
            <w:tcW w:type="dxa" w:w="366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What grants &amp; other explicitly fund</w:t>
            </w:r>
          </w:p>
        </w:tc>
        <w:tc>
          <w:tcPr>
            <w:tcW w:type="dxa" w:w="14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Vote / gate</w:t>
            </w:r>
          </w:p>
        </w:tc>
      </w:tr>
      <w:tr>
        <w:tc>
          <w:tcPr>
            <w:tcW w:type="dxa" w:w="23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0 — Pre-launch / formation  ·  Now–Dec 2026  ·  0 members</w:t>
            </w:r>
          </w:p>
        </w:tc>
        <w:tc>
          <w:tcPr>
            <w:tcW w:type="dxa" w:w="2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No dues yet. Founder $0 (side-project; academic salary covers him).</w:t>
            </w:r>
          </w:p>
        </w:tc>
        <w:tc>
          <w:tcPr>
            <w:tcW w:type="dxa" w:w="36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Via the Model C fiscal sponsor: community fieldwork; Spanish localization &amp; accessibility; closed-beta / pilot costs. Roundhouse Small Grant + Ford Family lead. Legal &amp; formation paid from dues-to-come and donations, not grants.</w:t>
            </w:r>
          </w:p>
        </w:tc>
        <w:tc>
          <w:tcPr>
            <w:tcW w:type="dxa" w:w="14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Legal incorporation; closed-beta validation.</w:t>
            </w:r>
          </w:p>
        </w:tc>
      </w:tr>
      <w:tr>
        <w:tc>
          <w:tcPr>
            <w:tcW w:type="dxa" w:w="23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1 — Launch &amp; root in Redmond  ·  Yr 1  ·  →~200 members (~$9.6K/yr)</w:t>
            </w:r>
          </w:p>
        </w:tc>
        <w:tc>
          <w:tcPr>
            <w:tcW w:type="dxa" w:w="2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cover hosting + basic tools. Founder volunteer / minimal.</w:t>
            </w:r>
          </w:p>
        </w:tc>
        <w:tc>
          <w:tcPr>
            <w:tcW w:type="dxa" w:w="36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Launch programming; continued localization &amp; accessibility; first transparency report; beta internship (1–2 students). Roundhouse, Ford Family, OCF Fall, Bend Foundation (Bend slice). Year-end donations + Community Fund begin.</w:t>
            </w:r>
          </w:p>
        </w:tc>
        <w:tc>
          <w:tcPr>
            <w:tcW w:type="dxa" w:w="14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200 members; governance operational and stable.</w:t>
            </w:r>
          </w:p>
        </w:tc>
      </w:tr>
      <w:tr>
        <w:tc>
          <w:tcPr>
            <w:tcW w:type="dxa" w:w="23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2 — Full Central Oregon coverage  ·  Yr 1–2  ·  →~500 members (~$24K/yr)</w:t>
            </w:r>
          </w:p>
        </w:tc>
        <w:tc>
          <w:tcPr>
            <w:tcW w:type="dxa" w:w="2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cover ops + part-time help + a modest founder stipend ($15–25k), topped by grant overhead (10–15%).</w:t>
            </w:r>
          </w:p>
        </w:tc>
        <w:tc>
          <w:tcPr>
            <w:tcW w:type="dxa" w:w="36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Additional-town fieldwork (La Pine, Sisters, Prineville, Madras); capacity building (board development, fiscal systems — Ford Family / Roundhouse TA); new community features. OCF expanding-program, Roundhouse Open Call, Ford Family. IRS determination likely lands → sponsor spin-out; grants convert to direct.</w:t>
            </w:r>
          </w:p>
        </w:tc>
        <w:tc>
          <w:tcPr>
            <w:tcW w:type="dxa" w:w="14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Community vote to expand; 500 members; town qualification.</w:t>
            </w:r>
          </w:p>
        </w:tc>
      </w:tr>
      <w:tr>
        <w:tc>
          <w:tcPr>
            <w:tcW w:type="dxa" w:w="23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3 — Sustainable + program arm  ·  Yr 2–3  ·  →~1,000 members (~$48K/yr)</w:t>
            </w:r>
          </w:p>
        </w:tc>
        <w:tc>
          <w:tcPr>
            <w:tcW w:type="dxa" w:w="2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now cover ops + a sustainable salary (~$37k available toward salary at 1,000 members; the $95k ceiling becomes dues-fundable near ~2,300 members). The LLC winds down at full-time.</w:t>
            </w:r>
          </w:p>
        </w:tc>
        <w:tc>
          <w:tcPr>
            <w:tcW w:type="dxa" w:w="36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High Desert Connect program arm — rural connectivity + the Tribal Digital Sovereignty Program — grant-funded, never dues. Government grants become eligible (2028+). Foundation + government program grants.</w:t>
            </w:r>
          </w:p>
        </w:tc>
        <w:tc>
          <w:tcPr>
            <w:tcW w:type="dxa" w:w="14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Founder-protection period running; multi-town governance activates.</w:t>
            </w:r>
          </w:p>
        </w:tc>
      </w:tr>
      <w:tr>
        <w:tc>
          <w:tcPr>
            <w:tcW w:type="dxa" w:w="23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4 — Replication &amp; long horizon  ·  2028+  ·  →3,500+ members</w:t>
            </w:r>
          </w:p>
        </w:tc>
        <w:tc>
          <w:tcPr>
            <w:tcW w:type="dxa" w:w="2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fully anchor (~$168k/yr at 3,500 members); founder pay stable at the ceiling, the remainder surplus to the Community Fund.</w:t>
            </w:r>
          </w:p>
        </w:tc>
        <w:tc>
          <w:tcPr>
            <w:tcW w:type="dxa" w:w="36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Government grants (radically transparent); the Warm Springs partnership (co-led, separately funded, never the operating budget); replication support (earned revenue).</w:t>
            </w:r>
          </w:p>
        </w:tc>
        <w:tc>
          <w:tcPr>
            <w:tcW w:type="dxa" w:w="14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Vote per expansion; founder-protection sunsets at 3,500 sustained four quarters.</w:t>
            </w:r>
          </w:p>
        </w:tc>
      </w:tr>
    </w:tbl>
    <w:p>
      <w:pPr>
        <w:spacing w:after="130" w:line="276"/>
      </w:pPr>
      <w:r>
        <w:rPr>
          <w:rFonts w:ascii="Arial" w:cs="Arial" w:eastAsia="Arial" w:hAnsi="Arial"/>
          <w:b/>
          <w:bCs/>
          <w:color w:val="1E1A16"/>
          <w:sz w:val="22"/>
          <w:szCs w:val="22"/>
        </w:rPr>
        <w:t xml:space="preserve">Founder-pay ladder (unchanged): </w:t>
      </w:r>
      <w:r>
        <w:rPr>
          <w:rFonts w:ascii="Arial" w:cs="Arial" w:eastAsia="Arial" w:hAnsi="Arial"/>
          <w:color w:val="1E1A16"/>
          <w:sz w:val="22"/>
          <w:szCs w:val="22"/>
        </w:rPr>
        <w:t xml:space="preserve">$0 while a side-project → $15–25k during significant part-time involvement → up to the $95k full-time ceiling (3% COLA cap, set below the academic salary). Drawn first from dues, then grant overhead (10–15%), then earned revenue; donations only on surplus. At the locked $4 base, dues alone fund the full $95k ceiling near ~2,300 members (~6.5% of Redmond), so the grant-overhead and earned-revenue layers are a bridge below that scale, not a permanent dependence.</w:t>
      </w:r>
    </w:p>
    <w:p>
      <w:pPr>
        <w:spacing w:after="130" w:line="276"/>
      </w:pPr>
      <w:r>
        <w:rPr>
          <w:rFonts w:ascii="Arial" w:cs="Arial" w:eastAsia="Arial" w:hAnsi="Arial"/>
          <w:b/>
          <w:bCs/>
          <w:color w:val="1E1A16"/>
          <w:sz w:val="22"/>
          <w:szCs w:val="22"/>
        </w:rPr>
        <w:t xml:space="preserve">Membership benchmarks: </w:t>
      </w:r>
      <w:r>
        <w:rPr>
          <w:rFonts w:ascii="Arial" w:cs="Arial" w:eastAsia="Arial" w:hAnsi="Arial"/>
          <w:color w:val="1E1A16"/>
          <w:sz w:val="22"/>
          <w:szCs w:val="22"/>
        </w:rPr>
        <w:t xml:space="preserve">200 ≈ 0.5% of Redmond (near-term trust milestone); 500 ≈ 1.3% (a 12–18-month target); 1,000 members yields ~$48k/yr in dues; the $95k ceiling is dues-fundable near ~2,300 members (~6.5% of Redmond); 3,500 sustained four quarters is the founder-protection sunset (~$168k/yr in dues, surplus to the Community Fund).</w:t>
      </w:r>
    </w:p>
    <w:p>
      <w:pPr>
        <w:pStyle w:val="Heading1"/>
        <w:pBdr>
          <w:bottom w:val="single" w:color="3D6B4A" w:sz="8" w:space="6"/>
        </w:pBdr>
        <w:spacing w:after="180" w:before="500"/>
      </w:pPr>
      <w:r>
        <w:rPr>
          <w:rFonts w:ascii="Arial" w:cs="Arial" w:eastAsia="Arial" w:hAnsi="Arial"/>
          <w:b/>
          <w:bCs/>
          <w:color w:val="1E1A16"/>
          <w:sz w:val="30"/>
          <w:szCs w:val="30"/>
        </w:rPr>
        <w:t xml:space="preserve">4 — Sequencing &amp; Guardrails</w:t>
      </w:r>
    </w:p>
    <w:p>
      <w:pPr>
        <w:spacing w:after="130"/>
      </w:pPr>
      <w:r>
        <w:rPr>
          <w:rFonts w:ascii="Arial" w:cs="Arial" w:eastAsia="Arial" w:hAnsi="Arial"/>
          <w:i/>
          <w:iCs/>
          <w:color w:val="524840"/>
          <w:sz w:val="21"/>
          <w:szCs w:val="21"/>
        </w:rPr>
        <w:t xml:space="preserve">The gating item is the signed fiscal-sponsorship agreement, not the calendar.</w:t>
      </w:r>
    </w:p>
    <w:p>
      <w:pPr>
        <w:spacing w:after="130" w:line="276"/>
      </w:pPr>
      <w:r>
        <w:rPr>
          <w:rFonts w:ascii="Arial" w:cs="Arial" w:eastAsia="Arial" w:hAnsi="Arial"/>
          <w:color w:val="1E1A16"/>
          <w:sz w:val="22"/>
          <w:szCs w:val="22"/>
        </w:rPr>
        <w:t>Three windows are open now — OCF Fall (closes June 23), Bend Foundation summer (closes July 17), and the Roundhouse fall Open Call (Jun–Aug). But each effectively requires the fiscal-sponsor agreement already in hand (OCF wants it signed within the past year; Roundhouse requires active pursuit of 501(c)(3) status). If the Ignite Empowerment Foundation agreement is not signed within days, the June 23 OCF deadline is too tight — and a thin application rushed without fieldwork evidence is worse than waiting for the next cycle.</w:t>
      </w:r>
    </w:p>
    <w:p>
      <w:pPr>
        <w:spacing w:after="130" w:line="276"/>
      </w:pPr>
      <w:r>
        <w:rPr>
          <w:rFonts w:ascii="Arial" w:cs="Arial" w:eastAsia="Arial" w:hAnsi="Arial"/>
          <w:b/>
          <w:bCs/>
          <w:color w:val="1E1A16"/>
          <w:sz w:val="22"/>
          <w:szCs w:val="22"/>
        </w:rPr>
        <w:t xml:space="preserve">Recommended near-term path: </w:t>
      </w:r>
      <w:r>
        <w:rPr>
          <w:rFonts w:ascii="Arial" w:cs="Arial" w:eastAsia="Arial" w:hAnsi="Arial"/>
          <w:color w:val="1E1A16"/>
          <w:sz w:val="22"/>
          <w:szCs w:val="22"/>
        </w:rPr>
        <w:t xml:space="preserve">lead with the two rolling, deadline-free options that also fit Steppe’s actual readiness — the Roundhouse Small Grant (monthly review, welcomes fiscally-sponsored orgs in pursuit of status, and is explicitly the “get to know each other” entry) and the Ford Family Good Neighbor grant (rolling, once the 25% match is lined up). Use those to build a track record and relationships, then target the OCF Fall cycle and the Roundhouse fall Open Call in the next round, once the sponsor agreement and fieldwork evidence are both in hand.</w:t>
      </w:r>
    </w:p>
    <w:p>
      <w:pPr>
        <w:pStyle w:val="Heading2"/>
        <w:spacing w:after="80" w:before="360"/>
      </w:pPr>
      <w:r>
        <w:rPr>
          <w:rFonts w:ascii="Arial" w:cs="Arial" w:eastAsia="Arial" w:hAnsi="Arial"/>
          <w:b/>
          <w:bCs/>
          <w:color w:val="3D6B4A"/>
          <w:sz w:val="24"/>
          <w:szCs w:val="24"/>
        </w:rPr>
        <w:t xml:space="preserve">Guardrails</w:t>
      </w:r>
    </w:p>
    <w:p>
      <w:pPr>
        <w:pStyle w:val="ListParagraph"/>
        <w:numPr>
          <w:ilvl w:val="0"/>
          <w:numId w:val="1"/>
        </w:numPr>
        <w:spacing w:after="90" w:line="264"/>
      </w:pPr>
      <w:r>
        <w:rPr>
          <w:rFonts w:ascii="Arial" w:cs="Arial" w:eastAsia="Arial" w:hAnsi="Arial"/>
          <w:color w:val="1E1A16"/>
          <w:sz w:val="21"/>
          <w:szCs w:val="21"/>
        </w:rPr>
        <w:t xml:space="preserve">Keep any single grant under 30% of total revenue — size and stagger asks accordingly.</w:t>
      </w:r>
    </w:p>
    <w:p>
      <w:pPr>
        <w:pStyle w:val="ListParagraph"/>
        <w:numPr>
          <w:ilvl w:val="0"/>
          <w:numId w:val="1"/>
        </w:numPr>
        <w:spacing w:after="90" w:line="264"/>
      </w:pPr>
      <w:r>
        <w:rPr>
          <w:rFonts w:ascii="Arial" w:cs="Arial" w:eastAsia="Arial" w:hAnsi="Arial"/>
          <w:color w:val="1E1A16"/>
          <w:sz w:val="21"/>
          <w:szCs w:val="21"/>
        </w:rPr>
        <w:t xml:space="preserve">Each grant is restricted: track every award against its allowed budget lines, and net the sponsor’s 5–15% fee out of the usable total.</w:t>
      </w:r>
    </w:p>
    <w:p>
      <w:pPr>
        <w:pStyle w:val="ListParagraph"/>
        <w:numPr>
          <w:ilvl w:val="0"/>
          <w:numId w:val="1"/>
        </w:numPr>
        <w:spacing w:after="90" w:line="264"/>
      </w:pPr>
      <w:r>
        <w:rPr>
          <w:rFonts w:ascii="Arial" w:cs="Arial" w:eastAsia="Arial" w:hAnsi="Arial"/>
          <w:color w:val="1E1A16"/>
          <w:sz w:val="21"/>
          <w:szCs w:val="21"/>
        </w:rPr>
        <w:t xml:space="preserve">Line up Ford Family’s 25% match (cash or in-kind) before applying there.</w:t>
      </w:r>
    </w:p>
    <w:p>
      <w:pPr>
        <w:pStyle w:val="ListParagraph"/>
        <w:numPr>
          <w:ilvl w:val="0"/>
          <w:numId w:val="1"/>
        </w:numPr>
        <w:spacing w:after="90" w:line="264"/>
      </w:pPr>
      <w:r>
        <w:rPr>
          <w:rFonts w:ascii="Arial" w:cs="Arial" w:eastAsia="Arial" w:hAnsi="Arial"/>
          <w:color w:val="1E1A16"/>
          <w:sz w:val="21"/>
          <w:szCs w:val="21"/>
        </w:rPr>
        <w:t xml:space="preserve">Frame app work as accessibility, equity, and community access for most funders; Roundhouse is the one that will fund “program-aligned software” by that name.</w:t>
      </w:r>
    </w:p>
    <w:p>
      <w:pPr>
        <w:pStyle w:val="ListParagraph"/>
        <w:numPr>
          <w:ilvl w:val="0"/>
          <w:numId w:val="1"/>
        </w:numPr>
        <w:spacing w:after="90" w:line="264"/>
      </w:pPr>
      <w:r>
        <w:rPr>
          <w:rFonts w:ascii="Arial" w:cs="Arial" w:eastAsia="Arial" w:hAnsi="Arial"/>
          <w:color w:val="1E1A16"/>
          <w:sz w:val="21"/>
          <w:szCs w:val="21"/>
        </w:rPr>
        <w:t xml:space="preserve">Dues fund core operations and the ED salary — never a grant. This keeps Steppe inside both its funding model and its anti-dependency commitments.</w:t>
      </w:r>
    </w:p>
    <w:p>
      <w:pPr>
        <w:pBdr>
          <w:bottom w:val="single" w:color="3D6B4A" w:sz="8" w:space="1"/>
        </w:pBdr>
        <w:spacing w:after="130" w:before="320"/>
      </w:pPr>
      <w:r>
        <w:t xml:space="preserve"/>
      </w:r>
    </w:p>
    <w:p>
      <w:pPr>
        <w:spacing w:after="60"/>
      </w:pPr>
      <w:r>
        <w:rPr>
          <w:rFonts w:ascii="Arial" w:cs="Arial" w:eastAsia="Arial" w:hAnsi="Arial"/>
          <w:b/>
          <w:bCs/>
          <w:color w:val="8B3A10"/>
          <w:sz w:val="19"/>
          <w:szCs w:val="19"/>
        </w:rPr>
        <w:t xml:space="preserve">Confirm before applying. </w:t>
      </w:r>
      <w:r>
        <w:rPr>
          <w:rFonts w:ascii="Arial" w:cs="Arial" w:eastAsia="Arial" w:hAnsi="Arial"/>
          <w:color w:val="1E1A16"/>
          <w:sz w:val="19"/>
          <w:szCs w:val="19"/>
        </w:rPr>
        <w:t xml:space="preserve">Amounts, windows, and eligible-cost lists change by cycle. Reconfirm each on the funder’s own page — especially the Bend Foundation, whose public guidelines are limited. This reference is a companion to, not a replacement for, the Business Plan funding model.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0B4" w:sz="4" w:space="6"/>
      </w:pBdr>
      <w:tabs>
        <w:tab w:val="right" w:pos="9360"/>
      </w:tabs>
    </w:pPr>
    <w:r>
      <w:rPr>
        <w:rFonts w:ascii="Arial" w:cs="Arial" w:eastAsia="Arial" w:hAnsi="Arial"/>
        <w:color w:val="6B6B6B"/>
        <w:sz w:val="16"/>
        <w:szCs w:val="16"/>
      </w:rPr>
      <w:t xml:space="preserve">Steppe  ·  Funder Eligibility &amp; Cost-Mapping Reference</w:t>
    </w:r>
    <w:r>
      <w:rPr>
        <w:rFonts w:ascii="Arial" w:cs="Arial" w:eastAsia="Arial" w:hAnsi="Arial"/>
        <w:color w:val="6B6B6B"/>
        <w:sz w:val="16"/>
        <w:szCs w:val="16"/>
      </w:rPr>
      <w:t xml:space="preserve">	Page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of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2026-06-15T02:47:57.417Z</dcterms:created>
  <dcterms:modified xsi:type="dcterms:W3CDTF">2026-06-15T02:47:57.430Z</dcterms:modified>
</cp:coreProperties>
</file>

<file path=docProps/custom.xml><?xml version="1.0" encoding="utf-8"?>
<Properties xmlns="http://schemas.openxmlformats.org/officeDocument/2006/custom-properties" xmlns:vt="http://schemas.openxmlformats.org/officeDocument/2006/docPropsVTypes"/>
</file>