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0" w:after="60" w:line="269" w:lineRule="auto"/>
      </w:pPr>
      <w:r>
        <w:rPr>
          <w:rFonts w:ascii="Arial" w:hAnsi="Arial" w:eastAsia="Arial"/>
          <w:b/>
          <w:color w:val="38D84E"/>
          <w:sz w:val="16"/>
        </w:rPr>
        <w:t>MIRMIBUG IT SOLUTIONS</w:t>
      </w:r>
    </w:p>
    <w:p>
      <w:pPr>
        <w:keepLines w:val="0"/>
        <w:spacing w:before="0" w:after="40" w:line="269" w:lineRule="auto"/>
      </w:pPr>
      <w:r>
        <w:rPr>
          <w:rFonts w:ascii="Arial" w:hAnsi="Arial" w:eastAsia="Arial"/>
          <w:b/>
          <w:color w:val="111111"/>
          <w:sz w:val="38"/>
        </w:rPr>
        <w:t>Manuales del Sistema</w:t>
      </w:r>
    </w:p>
    <w:p>
      <w:pPr>
        <w:keepLines w:val="0"/>
        <w:spacing w:before="0" w:after="40" w:line="269" w:lineRule="auto"/>
      </w:pPr>
      <w:r>
        <w:rPr>
          <w:rFonts w:ascii="Arial" w:hAnsi="Arial" w:eastAsia="Arial"/>
          <w:b/>
          <w:color w:val="111111"/>
          <w:sz w:val="38"/>
        </w:rPr>
        <w:t>Aura Marketplace</w:t>
      </w:r>
    </w:p>
    <w:p>
      <w:pPr>
        <w:keepLines w:val="0"/>
        <w:spacing w:before="0" w:after="360" w:line="269" w:lineRule="auto"/>
      </w:pPr>
      <w:r>
        <w:rPr>
          <w:rFonts w:ascii="Arial" w:hAnsi="Arial" w:eastAsia="Arial"/>
          <w:b w:val="0"/>
          <w:color w:val="888888"/>
          <w:sz w:val="18"/>
        </w:rPr>
        <w:t>Versión 1.0  ·  Junio 2026  ·  Ciudad de México</w:t>
      </w: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648"/>
            <w:shd w:fill="EAFBEF"/>
            <w:tcBorders>
              <w:top w:val="single" w:sz="6" w:space="0" w:color="CDEFD6"/>
              <w:left w:val="single" w:sz="6" w:space="0" w:color="CDEFD6"/>
              <w:bottom w:val="single" w:sz="6" w:space="0" w:color="CDEFD6"/>
              <w:right w:val="single" w:sz="6" w:space="0" w:color="CDEFD6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22A335"/>
                <w:sz w:val="22"/>
              </w:rPr>
              <w:t>ℹ</w:t>
            </w:r>
          </w:p>
        </w:tc>
        <w:tc>
          <w:tcPr>
            <w:tcW w:type="dxa" w:w="8568"/>
            <w:shd w:fill="EAFBEF"/>
            <w:tcBorders>
              <w:top w:val="single" w:sz="6" w:space="0" w:color="CDEFD6"/>
              <w:left w:val="single" w:sz="6" w:space="0" w:color="CDEFD6"/>
              <w:bottom w:val="single" w:sz="6" w:space="0" w:color="CDEFD6"/>
              <w:right w:val="single" w:sz="6" w:space="0" w:color="CDEFD6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8"/>
              </w:rPr>
              <w:t>Este documento concentra los manuales de usuario, administración, operación técnica y API del sistema Aura, basado en el análisis del repositorio /Users/acls/Documents/aura_shop.</w:t>
            </w:r>
          </w:p>
        </w:tc>
      </w:tr>
    </w:tbl>
    <w:p>
      <w:pPr>
        <w:spacing w:after="40"/>
      </w:pP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6F6F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Sistema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7"/>
              </w:rPr>
              <w:t>Aura Marketplace de belleza y cuidado personal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6F6F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Desarrollado por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7"/>
              </w:rPr>
              <w:t>Mirmibug IT Solutions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6F6F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Repositorio analizado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7"/>
              </w:rPr>
              <w:t>/Users/acls/Documents/aura_shop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6F6F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Backend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7"/>
              </w:rPr>
              <w:t>FastAPI + PostgreSQL + SQLAlchemy 2.0 + Alembic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6F6F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Frontend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7"/>
              </w:rPr>
              <w:t>Next.js 14 + TypeScript + Tailwind + shadcn/ui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6F6F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Alcance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7"/>
              </w:rPr>
              <w:t>Catálogo, carrito, checkout, pedidos, inventario, usuarios, roles, reportes y auditoría</w:t>
            </w:r>
          </w:p>
        </w:tc>
      </w:tr>
    </w:tbl>
    <w:p>
      <w:pPr>
        <w:spacing w:after="80"/>
      </w:pPr>
    </w:p>
    <w:p>
      <w:pPr>
        <w:keepLines/>
        <w:spacing w:before="320" w:after="160" w:line="269" w:lineRule="auto"/>
      </w:pPr>
      <w:r>
        <w:rPr>
          <w:rFonts w:ascii="Arial" w:hAnsi="Arial" w:eastAsia="Arial"/>
          <w:b/>
          <w:color w:val="111111"/>
          <w:sz w:val="28"/>
        </w:rPr>
        <w:t>1. Visión General del Sistema</w:t>
      </w:r>
    </w:p>
    <w:p>
      <w:pPr>
        <w:keepLines w:val="0"/>
        <w:spacing w:before="0" w:after="80" w:line="269" w:lineRule="auto"/>
      </w:pPr>
      <w:r>
        <w:rPr>
          <w:rFonts w:ascii="Arial" w:hAnsi="Arial" w:eastAsia="Arial"/>
          <w:b w:val="0"/>
          <w:color w:val="333333"/>
          <w:sz w:val="20"/>
        </w:rPr>
        <w:t>Aura es un marketplace para productos de belleza y cuidado personal. El sistema permite publicar catálogo, manejar variantes por SKU, controlar inventario mediante movimientos, registrar pedidos y administrar la operación desde un panel interno.</w:t>
      </w:r>
    </w:p>
    <w:p>
      <w:pPr>
        <w:keepLines w:val="0"/>
        <w:spacing w:before="0" w:after="80" w:line="269" w:lineRule="auto"/>
      </w:pPr>
      <w:r>
        <w:rPr>
          <w:rFonts w:ascii="Arial" w:hAnsi="Arial" w:eastAsia="Arial"/>
          <w:b w:val="0"/>
          <w:color w:val="333333"/>
          <w:sz w:val="20"/>
        </w:rPr>
        <w:t>La arquitectura está separada en una API FastAPI y una aplicación web Next.js. El diseño de datos contempla que Odoo sea la fuente de verdad para catálogo, precios y stock, aunque la sincronización real con Odoo aún no está implementada en esta capa.</w:t>
      </w:r>
    </w:p>
    <w:p>
      <w:pPr>
        <w:keepLines/>
        <w:spacing w:before="200" w:after="100" w:line="269" w:lineRule="auto"/>
      </w:pPr>
      <w:r>
        <w:rPr>
          <w:rFonts w:ascii="Arial" w:hAnsi="Arial" w:eastAsia="Arial"/>
          <w:b/>
          <w:color w:val="22A335"/>
          <w:sz w:val="18"/>
        </w:rPr>
        <w:t>1.1  MÓDULOS PRINCIPALES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Tienda pública: home, catálogo, detalle de producto, carrito y checkout.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Cuenta de cliente: registro, inicio de sesión, recuperación y pedidos propios.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Administración: tablero, productos, inventario, pedidos, usuarios, reportes y bitácora.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API: autenticación JWT, catálogo público, carrito invitado/usuario, pedidos y rutas administrativas.</w:t>
      </w:r>
    </w:p>
    <w:p>
      <w:pPr>
        <w:keepLines/>
        <w:spacing w:before="320" w:after="160" w:line="269" w:lineRule="auto"/>
      </w:pPr>
      <w:r>
        <w:rPr>
          <w:rFonts w:ascii="Arial" w:hAnsi="Arial" w:eastAsia="Arial"/>
          <w:b/>
          <w:color w:val="111111"/>
          <w:sz w:val="28"/>
        </w:rPr>
        <w:t>2. Manual de Usuario / Cliente</w:t>
      </w:r>
    </w:p>
    <w:p>
      <w:pPr>
        <w:keepLines/>
        <w:spacing w:before="200" w:after="100" w:line="269" w:lineRule="auto"/>
      </w:pPr>
      <w:r>
        <w:rPr>
          <w:rFonts w:ascii="Arial" w:hAnsi="Arial" w:eastAsia="Arial"/>
          <w:b/>
          <w:color w:val="22A335"/>
          <w:sz w:val="18"/>
        </w:rPr>
        <w:t>2.1  COMPRA EN LA TIENDA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Ingresar a http://localhost:3000 y seleccionar Ver productos.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Explorar el catálogo o filtrar por categoría, marca o texto de búsqueda.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Abrir el detalle del producto y seleccionar una variante disponible.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Agregar el producto al carrito y revisar cantidades en /carrito.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Continuar a /checkout, capturar contacto, dirección y datos fiscales si requiere CFDI.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Confirmar pedido. El sistema registra la orden, pero el cobro real queda pendiente de integración con pasarela de pago.</w:t>
      </w:r>
    </w:p>
    <w:p>
      <w:pPr>
        <w:keepLines/>
        <w:spacing w:before="200" w:after="100" w:line="269" w:lineRule="auto"/>
      </w:pPr>
      <w:r>
        <w:rPr>
          <w:rFonts w:ascii="Arial" w:hAnsi="Arial" w:eastAsia="Arial"/>
          <w:b/>
          <w:color w:val="22A335"/>
          <w:sz w:val="18"/>
        </w:rPr>
        <w:t>2.2  CUENTA DEL CLIENTE</w:t>
      </w: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6F6F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Crear cuenta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7"/>
              </w:rPr>
              <w:t>Ruta /registro. Requiere correo y contraseña mínima de 8 caracteres.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6F6F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Iniciar sesión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7"/>
              </w:rPr>
              <w:t>Ruta /login. Autentica con correo y contraseña.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6F6F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Mi cuenta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7"/>
              </w:rPr>
              <w:t>Ruta /cuenta. Muestra correo, nombre y estado de verificación.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6F6F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Mis pedidos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7"/>
              </w:rPr>
              <w:t>Ruta /cuenta/pedidos. Lista pedidos asociados al usuario autenticado.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6F6F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Recuperación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7"/>
              </w:rPr>
              <w:t>Ruta /recuperar. Solicita token para restablecer contraseña.</w:t>
            </w:r>
          </w:p>
        </w:tc>
      </w:tr>
    </w:tbl>
    <w:p>
      <w:pPr>
        <w:spacing w:after="80"/>
      </w:pP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648"/>
            <w:shd w:fill="EAFBEF"/>
            <w:tcBorders>
              <w:top w:val="single" w:sz="6" w:space="0" w:color="CDEFD6"/>
              <w:left w:val="single" w:sz="6" w:space="0" w:color="CDEFD6"/>
              <w:bottom w:val="single" w:sz="6" w:space="0" w:color="CDEFD6"/>
              <w:right w:val="single" w:sz="6" w:space="0" w:color="CDEFD6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22A335"/>
                <w:sz w:val="22"/>
              </w:rPr>
              <w:t>ℹ</w:t>
            </w:r>
          </w:p>
        </w:tc>
        <w:tc>
          <w:tcPr>
            <w:tcW w:type="dxa" w:w="8568"/>
            <w:shd w:fill="EAFBEF"/>
            <w:tcBorders>
              <w:top w:val="single" w:sz="6" w:space="0" w:color="CDEFD6"/>
              <w:left w:val="single" w:sz="6" w:space="0" w:color="CDEFD6"/>
              <w:bottom w:val="single" w:sz="6" w:space="0" w:color="CDEFD6"/>
              <w:right w:val="single" w:sz="6" w:space="0" w:color="CDEFD6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8"/>
              </w:rPr>
              <w:t>El checkout también funciona para invitados usando X-Cart-Token. Si el cliente inicia sesión después de crear un carrito, el sistema puede fusionar el carrito invitado con el carrito del usuario.</w:t>
            </w:r>
          </w:p>
        </w:tc>
      </w:tr>
    </w:tbl>
    <w:p>
      <w:pPr>
        <w:spacing w:after="40"/>
      </w:pPr>
    </w:p>
    <w:p>
      <w:pPr>
        <w:keepLines/>
        <w:spacing w:before="320" w:after="160" w:line="269" w:lineRule="auto"/>
      </w:pPr>
      <w:r>
        <w:rPr>
          <w:rFonts w:ascii="Arial" w:hAnsi="Arial" w:eastAsia="Arial"/>
          <w:b/>
          <w:color w:val="111111"/>
          <w:sz w:val="28"/>
        </w:rPr>
        <w:t>3. Manual de Administración</w:t>
      </w:r>
    </w:p>
    <w:p>
      <w:pPr>
        <w:keepLines/>
        <w:spacing w:before="200" w:after="100" w:line="269" w:lineRule="auto"/>
      </w:pPr>
      <w:r>
        <w:rPr>
          <w:rFonts w:ascii="Arial" w:hAnsi="Arial" w:eastAsia="Arial"/>
          <w:b/>
          <w:color w:val="22A335"/>
          <w:sz w:val="18"/>
        </w:rPr>
        <w:t>3.1  ACCESO AL PANEL</w:t>
      </w:r>
    </w:p>
    <w:p>
      <w:pPr>
        <w:keepLines w:val="0"/>
        <w:spacing w:before="0" w:after="80" w:line="269" w:lineRule="auto"/>
      </w:pPr>
      <w:r>
        <w:rPr>
          <w:rFonts w:ascii="Arial" w:hAnsi="Arial" w:eastAsia="Arial"/>
          <w:b w:val="0"/>
          <w:color w:val="333333"/>
          <w:sz w:val="20"/>
        </w:rPr>
        <w:t>El panel administrativo se encuentra en /admin y requiere usuario autenticado con permisos suficientes. Los accesos visibles dependen del rol asignado.</w:t>
      </w: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6F6F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Dashboard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7"/>
              </w:rPr>
              <w:t>/admin: resumen de pedidos totales, pendientes, SKUs con stock y SKUs sin stock.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6F6F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Productos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7"/>
              </w:rPr>
              <w:t>/admin/productos: catálogo, marcas, categorías, variantes, imágenes y destacados.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6F6F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Inventario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7"/>
              </w:rPr>
              <w:t>/admin/inventario: stock actual, movimientos y ajustes.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6F6F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Pedidos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7"/>
              </w:rPr>
              <w:t>/admin/pedidos: consulta, filtros, detalle y cambio de estado.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6F6F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Usuarios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7"/>
              </w:rPr>
              <w:t>/admin/usuarios: altas, edición de roles y activación/desactivación.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6F6F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Reportes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7"/>
              </w:rPr>
              <w:t>/admin/reportes: ventas por periodo e inventario.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6F6F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Bitácora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7"/>
              </w:rPr>
              <w:t>/admin/bitacora: auditoría de acciones internas.</w:t>
            </w:r>
          </w:p>
        </w:tc>
      </w:tr>
    </w:tbl>
    <w:p>
      <w:pPr>
        <w:spacing w:after="80"/>
      </w:pPr>
    </w:p>
    <w:p>
      <w:pPr>
        <w:keepLines/>
        <w:spacing w:before="200" w:after="100" w:line="269" w:lineRule="auto"/>
      </w:pPr>
      <w:r>
        <w:rPr>
          <w:rFonts w:ascii="Arial" w:hAnsi="Arial" w:eastAsia="Arial"/>
          <w:b/>
          <w:color w:val="22A335"/>
          <w:sz w:val="18"/>
        </w:rPr>
        <w:t>3.2  CATÁLOGO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Crear marcas y categorías antes de asociarlas a productos.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Crear producto con nombre, slug, descripción, marca, categoría y bandera destacado.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Agregar una o varias variantes. Cada variante representa un SKU con precio propio.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Agregar imágenes mediante URL, marcando una como principal cuando aplique.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Editar productos existentes desde la tabla administrativa.</w:t>
      </w:r>
    </w:p>
    <w:p>
      <w:pPr>
        <w:keepLines/>
        <w:spacing w:before="200" w:after="100" w:line="269" w:lineRule="auto"/>
      </w:pPr>
      <w:r>
        <w:rPr>
          <w:rFonts w:ascii="Arial" w:hAnsi="Arial" w:eastAsia="Arial"/>
          <w:b/>
          <w:color w:val="22A335"/>
          <w:sz w:val="18"/>
        </w:rPr>
        <w:t>3.3  INVENTARIO</w:t>
      </w: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648"/>
            <w:shd w:fill="EAFBEF"/>
            <w:tcBorders>
              <w:top w:val="single" w:sz="6" w:space="0" w:color="CDEFD6"/>
              <w:left w:val="single" w:sz="6" w:space="0" w:color="CDEFD6"/>
              <w:bottom w:val="single" w:sz="6" w:space="0" w:color="CDEFD6"/>
              <w:right w:val="single" w:sz="6" w:space="0" w:color="CDEFD6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22A335"/>
                <w:sz w:val="22"/>
              </w:rPr>
              <w:t>ℹ</w:t>
            </w:r>
          </w:p>
        </w:tc>
        <w:tc>
          <w:tcPr>
            <w:tcW w:type="dxa" w:w="8568"/>
            <w:shd w:fill="EAFBEF"/>
            <w:tcBorders>
              <w:top w:val="single" w:sz="6" w:space="0" w:color="CDEFD6"/>
              <w:left w:val="single" w:sz="6" w:space="0" w:color="CDEFD6"/>
              <w:bottom w:val="single" w:sz="6" w:space="0" w:color="CDEFD6"/>
              <w:right w:val="single" w:sz="6" w:space="0" w:color="CDEFD6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8"/>
              </w:rPr>
              <w:t>El stock no se guarda como un número fijo. Se calcula como la suma de movimientos del ledger de inventario por SKU y almacén.</w:t>
            </w:r>
          </w:p>
        </w:tc>
      </w:tr>
    </w:tbl>
    <w:p>
      <w:pPr>
        <w:spacing w:after="40"/>
      </w:pP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1872"/>
            <w:shd w:fill="22A335"/>
            <w:tcBorders>
              <w:top w:val="single" w:sz="6" w:space="0" w:color="22A335"/>
              <w:left w:val="single" w:sz="6" w:space="0" w:color="22A335"/>
              <w:bottom w:val="single" w:sz="6" w:space="0" w:color="22A335"/>
              <w:right w:val="single" w:sz="6" w:space="0" w:color="22A33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2592"/>
            <w:shd w:fill="22A335"/>
            <w:tcBorders>
              <w:top w:val="single" w:sz="6" w:space="0" w:color="22A335"/>
              <w:left w:val="single" w:sz="6" w:space="0" w:color="22A335"/>
              <w:bottom w:val="single" w:sz="6" w:space="0" w:color="22A335"/>
              <w:right w:val="single" w:sz="6" w:space="0" w:color="22A33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Regla</w:t>
            </w:r>
          </w:p>
        </w:tc>
        <w:tc>
          <w:tcPr>
            <w:tcW w:type="dxa" w:w="4752"/>
            <w:shd w:fill="22A335"/>
            <w:tcBorders>
              <w:top w:val="single" w:sz="6" w:space="0" w:color="22A335"/>
              <w:left w:val="single" w:sz="6" w:space="0" w:color="22A335"/>
              <w:bottom w:val="single" w:sz="6" w:space="0" w:color="22A335"/>
              <w:right w:val="single" w:sz="6" w:space="0" w:color="22A33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Uso esperado</w:t>
            </w:r>
          </w:p>
        </w:tc>
      </w:tr>
      <w:t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entrada</w:t>
            </w:r>
          </w:p>
        </w:tc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Cantidad positiva</w:t>
            </w:r>
          </w:p>
        </w:tc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Recepción de mercancía o carga inicial.</w:t>
            </w:r>
          </w:p>
        </w:tc>
      </w:tr>
      <w:t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salida</w:t>
            </w:r>
          </w:p>
        </w:tc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Cantidad negativa</w:t>
            </w:r>
          </w:p>
        </w:tc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Venta, merma o salida operativa.</w:t>
            </w:r>
          </w:p>
        </w:tc>
      </w:tr>
      <w:t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ajuste</w:t>
            </w:r>
          </w:p>
        </w:tc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Cantidad distinta de cero</w:t>
            </w:r>
          </w:p>
        </w:tc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Corrección manual del inventario.</w:t>
            </w:r>
          </w:p>
        </w:tc>
      </w:tr>
    </w:tbl>
    <w:p>
      <w:pPr>
        <w:spacing w:after="80"/>
      </w:pPr>
    </w:p>
    <w:p>
      <w:pPr>
        <w:keepLines/>
        <w:spacing w:before="200" w:after="100" w:line="269" w:lineRule="auto"/>
      </w:pPr>
      <w:r>
        <w:rPr>
          <w:rFonts w:ascii="Arial" w:hAnsi="Arial" w:eastAsia="Arial"/>
          <w:b/>
          <w:color w:val="22A335"/>
          <w:sz w:val="18"/>
        </w:rPr>
        <w:t>3.4  PEDIDOS</w:t>
      </w: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880"/>
            <w:shd w:fill="22A335"/>
            <w:tcBorders>
              <w:top w:val="single" w:sz="6" w:space="0" w:color="22A335"/>
              <w:left w:val="single" w:sz="6" w:space="0" w:color="22A335"/>
              <w:bottom w:val="single" w:sz="6" w:space="0" w:color="22A335"/>
              <w:right w:val="single" w:sz="6" w:space="0" w:color="22A33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Estado actual</w:t>
            </w:r>
          </w:p>
        </w:tc>
        <w:tc>
          <w:tcPr>
            <w:tcW w:type="dxa" w:w="6336"/>
            <w:shd w:fill="22A335"/>
            <w:tcBorders>
              <w:top w:val="single" w:sz="6" w:space="0" w:color="22A335"/>
              <w:left w:val="single" w:sz="6" w:space="0" w:color="22A335"/>
              <w:bottom w:val="single" w:sz="6" w:space="0" w:color="22A335"/>
              <w:right w:val="single" w:sz="6" w:space="0" w:color="22A33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Transiciones válidas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pendiente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pagado, cancelado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pagado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enviado, cancelado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enviado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entregado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entregado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sin transición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cancelado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sin transición</w:t>
            </w:r>
          </w:p>
        </w:tc>
      </w:tr>
    </w:tbl>
    <w:p>
      <w:pPr>
        <w:spacing w:after="80"/>
      </w:pP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648"/>
            <w:shd w:fill="FFF6E0"/>
            <w:tcBorders>
              <w:top w:val="single" w:sz="6" w:space="0" w:color="CDEFD6"/>
              <w:left w:val="single" w:sz="6" w:space="0" w:color="CDEFD6"/>
              <w:bottom w:val="single" w:sz="6" w:space="0" w:color="CDEFD6"/>
              <w:right w:val="single" w:sz="6" w:space="0" w:color="CDEFD6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22A335"/>
                <w:sz w:val="22"/>
              </w:rPr>
              <w:t>⚠</w:t>
            </w:r>
          </w:p>
        </w:tc>
        <w:tc>
          <w:tcPr>
            <w:tcW w:type="dxa" w:w="8568"/>
            <w:shd w:fill="FFF6E0"/>
            <w:tcBorders>
              <w:top w:val="single" w:sz="6" w:space="0" w:color="CDEFD6"/>
              <w:left w:val="single" w:sz="6" w:space="0" w:color="CDEFD6"/>
              <w:bottom w:val="single" w:sz="6" w:space="0" w:color="CDEFD6"/>
              <w:right w:val="single" w:sz="6" w:space="0" w:color="CDEFD6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8"/>
              </w:rPr>
              <w:t>No se puede cancelar un pedido entregado. Todo cambio de estado administrativo se registra en la bitácora.</w:t>
            </w:r>
          </w:p>
        </w:tc>
      </w:tr>
    </w:tbl>
    <w:p>
      <w:pPr>
        <w:spacing w:after="40"/>
      </w:pPr>
    </w:p>
    <w:p>
      <w:pPr>
        <w:keepLines/>
        <w:spacing w:before="320" w:after="160" w:line="269" w:lineRule="auto"/>
      </w:pPr>
      <w:r>
        <w:rPr>
          <w:rFonts w:ascii="Arial" w:hAnsi="Arial" w:eastAsia="Arial"/>
          <w:b/>
          <w:color w:val="111111"/>
          <w:sz w:val="28"/>
        </w:rPr>
        <w:t>4. Manual de Roles y Permisos</w:t>
      </w: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016"/>
            <w:shd w:fill="22A335"/>
            <w:tcBorders>
              <w:top w:val="single" w:sz="6" w:space="0" w:color="22A335"/>
              <w:left w:val="single" w:sz="6" w:space="0" w:color="22A335"/>
              <w:bottom w:val="single" w:sz="6" w:space="0" w:color="22A335"/>
              <w:right w:val="single" w:sz="6" w:space="0" w:color="22A33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Rol</w:t>
            </w:r>
          </w:p>
        </w:tc>
        <w:tc>
          <w:tcPr>
            <w:tcW w:type="dxa" w:w="7200"/>
            <w:shd w:fill="22A335"/>
            <w:tcBorders>
              <w:top w:val="single" w:sz="6" w:space="0" w:color="22A335"/>
              <w:left w:val="single" w:sz="6" w:space="0" w:color="22A335"/>
              <w:bottom w:val="single" w:sz="6" w:space="0" w:color="22A335"/>
              <w:right w:val="single" w:sz="6" w:space="0" w:color="22A33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Alcance operativo</w:t>
            </w:r>
          </w:p>
        </w:tc>
      </w:tr>
      <w:t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superadmin</w:t>
            </w:r>
          </w:p>
        </w:tc>
        <w:tc>
          <w:tcPr>
            <w:tcW w:type="dxa" w:w="72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Acceso total: usuarios, roles, bitácora, catálogo, inventario, pedidos, reportes y configuración.</w:t>
            </w:r>
          </w:p>
        </w:tc>
      </w:tr>
      <w:t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administrador</w:t>
            </w:r>
          </w:p>
        </w:tc>
        <w:tc>
          <w:tcPr>
            <w:tcW w:type="dxa" w:w="72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Operación de tienda: catálogo, inventario, pedidos y reportes. Sin bitácora completa ni gestión profunda de roles.</w:t>
            </w:r>
          </w:p>
        </w:tc>
      </w:tr>
      <w:t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vendedor</w:t>
            </w:r>
          </w:p>
        </w:tc>
        <w:tc>
          <w:tcPr>
            <w:tcW w:type="dxa" w:w="72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Procesa pedidos y consulta catálogo/inventario; no ajusta stock ni edita precios.</w:t>
            </w:r>
          </w:p>
        </w:tc>
      </w:tr>
      <w:t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cliente</w:t>
            </w:r>
          </w:p>
        </w:tc>
        <w:tc>
          <w:tcPr>
            <w:tcW w:type="dxa" w:w="72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Compra, administra su cuenta y consulta pedidos propios.</w:t>
            </w:r>
          </w:p>
        </w:tc>
      </w:tr>
      <w:t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invitado</w:t>
            </w:r>
          </w:p>
        </w:tc>
        <w:tc>
          <w:tcPr>
            <w:tcW w:type="dxa" w:w="72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Compra sin registro mediante carrito por token.</w:t>
            </w:r>
          </w:p>
        </w:tc>
      </w:tr>
    </w:tbl>
    <w:p>
      <w:pPr>
        <w:spacing w:after="80"/>
      </w:pP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648"/>
            <w:shd w:fill="EAFBEF"/>
            <w:tcBorders>
              <w:top w:val="single" w:sz="6" w:space="0" w:color="CDEFD6"/>
              <w:left w:val="single" w:sz="6" w:space="0" w:color="CDEFD6"/>
              <w:bottom w:val="single" w:sz="6" w:space="0" w:color="CDEFD6"/>
              <w:right w:val="single" w:sz="6" w:space="0" w:color="CDEFD6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22A335"/>
                <w:sz w:val="22"/>
              </w:rPr>
              <w:t>⚠</w:t>
            </w:r>
          </w:p>
        </w:tc>
        <w:tc>
          <w:tcPr>
            <w:tcW w:type="dxa" w:w="8568"/>
            <w:shd w:fill="EAFBEF"/>
            <w:tcBorders>
              <w:top w:val="single" w:sz="6" w:space="0" w:color="CDEFD6"/>
              <w:left w:val="single" w:sz="6" w:space="0" w:color="CDEFD6"/>
              <w:bottom w:val="single" w:sz="6" w:space="0" w:color="CDEFD6"/>
              <w:right w:val="single" w:sz="6" w:space="0" w:color="CDEFD6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8"/>
              </w:rPr>
              <w:t>El seed de RBAC crea roles y permisos, pero no crea automáticamente el primer usuario superadmin. Debe asignarse manualmente en base de datos o agregarse un script de bootstrap.</w:t>
            </w:r>
          </w:p>
        </w:tc>
      </w:tr>
    </w:tbl>
    <w:p>
      <w:pPr>
        <w:spacing w:after="40"/>
      </w:pPr>
    </w:p>
    <w:p>
      <w:pPr>
        <w:keepLines/>
        <w:spacing w:before="320" w:after="160" w:line="269" w:lineRule="auto"/>
      </w:pPr>
      <w:r>
        <w:rPr>
          <w:rFonts w:ascii="Arial" w:hAnsi="Arial" w:eastAsia="Arial"/>
          <w:b/>
          <w:color w:val="111111"/>
          <w:sz w:val="28"/>
        </w:rPr>
        <w:t>5. Manual Técnico</w:t>
      </w:r>
    </w:p>
    <w:p>
      <w:pPr>
        <w:keepLines/>
        <w:spacing w:before="200" w:after="100" w:line="269" w:lineRule="auto"/>
      </w:pPr>
      <w:r>
        <w:rPr>
          <w:rFonts w:ascii="Arial" w:hAnsi="Arial" w:eastAsia="Arial"/>
          <w:b/>
          <w:color w:val="22A335"/>
          <w:sz w:val="18"/>
        </w:rPr>
        <w:t>5.1  REQUISITOS</w:t>
      </w: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6F6F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Python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7"/>
              </w:rPr>
              <w:t>Compatible con FastAPI, SQLAlchemy y Alembic declarados en backend/requirements.txt.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6F6F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Node.js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7"/>
              </w:rPr>
              <w:t>Proyecto Next.js 14 con npm y package-lock.json.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6F6F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Base de datos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7"/>
              </w:rPr>
              <w:t>PostgreSQL local con base aura.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6F6F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Variables backend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7"/>
              </w:rPr>
              <w:t>backend/.env basado en backend/.env.example.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6F6F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Variables frontend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7"/>
              </w:rPr>
              <w:t>frontend/.env.local basado en frontend/.env.example.</w:t>
            </w:r>
          </w:p>
        </w:tc>
      </w:tr>
    </w:tbl>
    <w:p>
      <w:pPr>
        <w:spacing w:after="80"/>
      </w:pPr>
    </w:p>
    <w:p>
      <w:pPr>
        <w:keepLines/>
        <w:spacing w:before="200" w:after="100" w:line="269" w:lineRule="auto"/>
      </w:pPr>
      <w:r>
        <w:rPr>
          <w:rFonts w:ascii="Arial" w:hAnsi="Arial" w:eastAsia="Arial"/>
          <w:b/>
          <w:color w:val="22A335"/>
          <w:sz w:val="18"/>
        </w:rPr>
        <w:t>5.2  INSTALACIÓN BACKEND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cd backend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python -m venv .venv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.\.venv\Scripts\Activate.ps1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pip install -r requirements.txt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copy .env.example .env y ajustar credenciales PostgreSQL.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python scripts\create_db.py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alembic upgrade head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python scripts\seed_rbac.py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python scripts\seed_catalog.py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python scripts\seed_inventory.py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uvicorn app.main:app --reload</w:t>
      </w:r>
    </w:p>
    <w:p>
      <w:pPr>
        <w:keepLines/>
        <w:spacing w:before="200" w:after="100" w:line="269" w:lineRule="auto"/>
      </w:pPr>
      <w:r>
        <w:rPr>
          <w:rFonts w:ascii="Arial" w:hAnsi="Arial" w:eastAsia="Arial"/>
          <w:b/>
          <w:color w:val="22A335"/>
          <w:sz w:val="18"/>
        </w:rPr>
        <w:t>5.3  INSTALACIÓN FRONTEND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cd frontend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npm install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copy .env.example .env.local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Verificar NEXT_PUBLIC_API_URL=http://127.0.0.1:8000/api/v1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npm run dev</w:t>
      </w:r>
    </w:p>
    <w:p>
      <w:pPr>
        <w:keepLines/>
        <w:spacing w:before="320" w:after="160" w:line="269" w:lineRule="auto"/>
      </w:pPr>
      <w:r>
        <w:rPr>
          <w:rFonts w:ascii="Arial" w:hAnsi="Arial" w:eastAsia="Arial"/>
          <w:b/>
          <w:color w:val="111111"/>
          <w:sz w:val="28"/>
        </w:rPr>
        <w:t>6. Manual de API</w:t>
      </w:r>
    </w:p>
    <w:p>
      <w:pPr>
        <w:keepLines/>
        <w:spacing w:before="200" w:after="100" w:line="269" w:lineRule="auto"/>
      </w:pPr>
      <w:r>
        <w:rPr>
          <w:rFonts w:ascii="Arial" w:hAnsi="Arial" w:eastAsia="Arial"/>
          <w:b/>
          <w:color w:val="22A335"/>
          <w:sz w:val="18"/>
        </w:rPr>
        <w:t>6.1  RUTAS PÚBLICAS Y CLIENTE</w:t>
      </w: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016"/>
            <w:shd w:fill="22A335"/>
            <w:tcBorders>
              <w:top w:val="single" w:sz="6" w:space="0" w:color="22A335"/>
              <w:left w:val="single" w:sz="6" w:space="0" w:color="22A335"/>
              <w:bottom w:val="single" w:sz="6" w:space="0" w:color="22A335"/>
              <w:right w:val="single" w:sz="6" w:space="0" w:color="22A33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7200"/>
            <w:shd w:fill="22A335"/>
            <w:tcBorders>
              <w:top w:val="single" w:sz="6" w:space="0" w:color="22A335"/>
              <w:left w:val="single" w:sz="6" w:space="0" w:color="22A335"/>
              <w:bottom w:val="single" w:sz="6" w:space="0" w:color="22A335"/>
              <w:right w:val="single" w:sz="6" w:space="0" w:color="22A33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Endpoints principales</w:t>
            </w:r>
          </w:p>
        </w:tc>
      </w:tr>
      <w:t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Catálogo</w:t>
            </w:r>
          </w:p>
        </w:tc>
        <w:tc>
          <w:tcPr>
            <w:tcW w:type="dxa" w:w="72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GET /catalog/marcas, /catalog/categorias, /catalog/productos, /catalog/productos/{slug}</w:t>
            </w:r>
          </w:p>
        </w:tc>
      </w:tr>
      <w:t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Auth</w:t>
            </w:r>
          </w:p>
        </w:tc>
        <w:tc>
          <w:tcPr>
            <w:tcW w:type="dxa" w:w="72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POST /auth/register, /auth/login, /auth/refresh, /auth/forgot-password, /auth/reset-password</w:t>
            </w:r>
          </w:p>
        </w:tc>
      </w:tr>
      <w:t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Carrito</w:t>
            </w:r>
          </w:p>
        </w:tc>
        <w:tc>
          <w:tcPr>
            <w:tcW w:type="dxa" w:w="72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GET /cart, POST /cart/items, PUT /cart/items/{sku}, DELETE /cart/items/{sku}, POST /cart/merge</w:t>
            </w:r>
          </w:p>
        </w:tc>
      </w:tr>
      <w:t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Pedidos</w:t>
            </w:r>
          </w:p>
        </w:tc>
        <w:tc>
          <w:tcPr>
            <w:tcW w:type="dxa" w:w="72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POST /orders/checkout, GET /orders, GET /orders/{numero}</w:t>
            </w:r>
          </w:p>
        </w:tc>
      </w:tr>
      <w:t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Usuario</w:t>
            </w:r>
          </w:p>
        </w:tc>
        <w:tc>
          <w:tcPr>
            <w:tcW w:type="dxa" w:w="72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GET /users/me</w:t>
            </w:r>
          </w:p>
        </w:tc>
      </w:tr>
    </w:tbl>
    <w:p>
      <w:pPr>
        <w:spacing w:after="80"/>
      </w:pPr>
    </w:p>
    <w:p>
      <w:pPr>
        <w:keepLines/>
        <w:spacing w:before="200" w:after="100" w:line="269" w:lineRule="auto"/>
      </w:pPr>
      <w:r>
        <w:rPr>
          <w:rFonts w:ascii="Arial" w:hAnsi="Arial" w:eastAsia="Arial"/>
          <w:b/>
          <w:color w:val="22A335"/>
          <w:sz w:val="18"/>
        </w:rPr>
        <w:t>6.2  RUTAS ADMINISTRATIVAS</w:t>
      </w: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160"/>
            <w:shd w:fill="22A335"/>
            <w:tcBorders>
              <w:top w:val="single" w:sz="6" w:space="0" w:color="22A335"/>
              <w:left w:val="single" w:sz="6" w:space="0" w:color="22A335"/>
              <w:bottom w:val="single" w:sz="6" w:space="0" w:color="22A335"/>
              <w:right w:val="single" w:sz="6" w:space="0" w:color="22A33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7056"/>
            <w:shd w:fill="22A335"/>
            <w:tcBorders>
              <w:top w:val="single" w:sz="6" w:space="0" w:color="22A335"/>
              <w:left w:val="single" w:sz="6" w:space="0" w:color="22A335"/>
              <w:bottom w:val="single" w:sz="6" w:space="0" w:color="22A335"/>
              <w:right w:val="single" w:sz="6" w:space="0" w:color="22A33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Endpoints principales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Catálogo admin</w:t>
            </w:r>
          </w:p>
        </w:tc>
        <w:tc>
          <w:tcPr>
            <w:tcW w:type="dxa" w:w="70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/admin/catalog/marcas, /admin/catalog/categorias, /admin/catalog/productos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Inventario</w:t>
            </w:r>
          </w:p>
        </w:tc>
        <w:tc>
          <w:tcPr>
            <w:tcW w:type="dxa" w:w="70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/inventory/almacenes, /inventory/stock, /inventory/movimientos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Pedidos admin</w:t>
            </w:r>
          </w:p>
        </w:tc>
        <w:tc>
          <w:tcPr>
            <w:tcW w:type="dxa" w:w="70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/admin/orders, /admin/orders/{numero}/estado, /admin/orders/{numero}/cancelar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Usuarios</w:t>
            </w:r>
          </w:p>
        </w:tc>
        <w:tc>
          <w:tcPr>
            <w:tcW w:type="dxa" w:w="70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/admin/users, /admin/users/roles, /admin/users/{user_id}, /admin/users/{user_id}/toggle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Reportes</w:t>
            </w:r>
          </w:p>
        </w:tc>
        <w:tc>
          <w:tcPr>
            <w:tcW w:type="dxa" w:w="70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/admin/reports/ventas, /admin/reports/inventario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Auditoría</w:t>
            </w:r>
          </w:p>
        </w:tc>
        <w:tc>
          <w:tcPr>
            <w:tcW w:type="dxa" w:w="70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6"/>
              </w:rPr>
              <w:t>/audit</w:t>
            </w:r>
          </w:p>
        </w:tc>
      </w:tr>
    </w:tbl>
    <w:p>
      <w:pPr>
        <w:spacing w:after="80"/>
      </w:pPr>
    </w:p>
    <w:p>
      <w:pPr>
        <w:keepLines/>
        <w:spacing w:before="320" w:after="160" w:line="269" w:lineRule="auto"/>
      </w:pPr>
      <w:r>
        <w:rPr>
          <w:rFonts w:ascii="Arial" w:hAnsi="Arial" w:eastAsia="Arial"/>
          <w:b/>
          <w:color w:val="111111"/>
          <w:sz w:val="28"/>
        </w:rPr>
        <w:t>7. Operación y Mantenimiento</w:t>
      </w:r>
    </w:p>
    <w:p>
      <w:pPr>
        <w:keepLines/>
        <w:spacing w:before="200" w:after="100" w:line="269" w:lineRule="auto"/>
      </w:pPr>
      <w:r>
        <w:rPr>
          <w:rFonts w:ascii="Arial" w:hAnsi="Arial" w:eastAsia="Arial"/>
          <w:b/>
          <w:color w:val="22A335"/>
          <w:sz w:val="18"/>
        </w:rPr>
        <w:t>7.1  HEALTHCHECKS</w:t>
      </w: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6F6F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Liveness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7"/>
              </w:rPr>
              <w:t>GET /health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6F6F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Readiness DB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7"/>
              </w:rPr>
              <w:t>GET /health/db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6F6F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Swagger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7"/>
              </w:rPr>
              <w:t>http://127.0.0.1:8000/docs</w:t>
            </w:r>
          </w:p>
        </w:tc>
      </w:tr>
    </w:tbl>
    <w:p>
      <w:pPr>
        <w:spacing w:after="80"/>
      </w:pPr>
    </w:p>
    <w:p>
      <w:pPr>
        <w:keepLines/>
        <w:spacing w:before="200" w:after="100" w:line="269" w:lineRule="auto"/>
      </w:pPr>
      <w:r>
        <w:rPr>
          <w:rFonts w:ascii="Arial" w:hAnsi="Arial" w:eastAsia="Arial"/>
          <w:b/>
          <w:color w:val="22A335"/>
          <w:sz w:val="18"/>
        </w:rPr>
        <w:t>7.2  TAREAS RECURRENTES RECOMENDADAS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Revisar bitácora de auditoría para cambios administrativos sensibles.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Monitorear SKUs sin stock y productos con stock bajo desde reportes.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Respaldar PostgreSQL antes de migraciones o cambios masivos de catálogo.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Revisar errores de checkout relacionados con stock insuficiente.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Mantener SECRET_KEY segura y diferente por ambiente.</w:t>
      </w:r>
    </w:p>
    <w:p>
      <w:pPr>
        <w:keepLines/>
        <w:spacing w:before="320" w:after="160" w:line="269" w:lineRule="auto"/>
      </w:pPr>
      <w:r>
        <w:rPr>
          <w:rFonts w:ascii="Arial" w:hAnsi="Arial" w:eastAsia="Arial"/>
          <w:b/>
          <w:color w:val="111111"/>
          <w:sz w:val="28"/>
        </w:rPr>
        <w:t>8. Pendientes Para Producción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Integración real con Odoo para catálogo, precios, stock y pedidos.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Pasarela de pago y conciliación de estados pagado/cancelado.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SMTP real para verificación, recuperación y confirmaciones.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Script formal para crear el primer superadmin.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Carga de imágenes o integración con CDN/medios.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Facturación CFDI real a partir de los datos fiscales capturados.</w:t>
      </w:r>
    </w:p>
    <w:p>
      <w:pPr>
        <w:spacing w:after="60" w:line="264" w:lineRule="auto"/>
        <w:ind w:left="230" w:hanging="230"/>
      </w:pPr>
      <w:r>
        <w:rPr>
          <w:rFonts w:ascii="Arial" w:hAnsi="Arial" w:eastAsia="Arial"/>
          <w:b/>
          <w:color w:val="38D84E"/>
          <w:sz w:val="20"/>
        </w:rPr>
        <w:t xml:space="preserve">• </w:t>
      </w:r>
      <w:r>
        <w:rPr>
          <w:rFonts w:ascii="Arial" w:hAnsi="Arial" w:eastAsia="Arial"/>
          <w:b w:val="0"/>
          <w:color w:val="333333"/>
          <w:sz w:val="18"/>
        </w:rPr>
        <w:t>Hardening de refresh tokens con almacenamiento/revocación.</w:t>
      </w: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648"/>
            <w:shd w:fill="EAFBEF"/>
            <w:tcBorders>
              <w:top w:val="single" w:sz="6" w:space="0" w:color="CDEFD6"/>
              <w:left w:val="single" w:sz="6" w:space="0" w:color="CDEFD6"/>
              <w:bottom w:val="single" w:sz="6" w:space="0" w:color="CDEFD6"/>
              <w:right w:val="single" w:sz="6" w:space="0" w:color="CDEFD6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22A335"/>
                <w:sz w:val="22"/>
              </w:rPr>
              <w:t>ℹ</w:t>
            </w:r>
          </w:p>
        </w:tc>
        <w:tc>
          <w:tcPr>
            <w:tcW w:type="dxa" w:w="8568"/>
            <w:shd w:fill="EAFBEF"/>
            <w:tcBorders>
              <w:top w:val="single" w:sz="6" w:space="0" w:color="CDEFD6"/>
              <w:left w:val="single" w:sz="6" w:space="0" w:color="CDEFD6"/>
              <w:bottom w:val="single" w:sz="6" w:space="0" w:color="CDEFD6"/>
              <w:right w:val="single" w:sz="6" w:space="0" w:color="CDEFD6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8"/>
              </w:rPr>
              <w:t>Documento generado con base en el formato visual de 04_Politica_Privacidad_Mirmibug.docx y en el análisis del código fuente disponible al 18 de junio de 2026.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Arial" w:hAnsi="Arial" w:eastAsia="Arial"/>
        <w:b w:val="0"/>
        <w:color w:val="888888"/>
        <w:sz w:val="16"/>
      </w:rPr>
      <w:t>Mirmibug IT Solutions  ·  Versión 1.0  ·  Junio 2026  ·  aura_shop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Arial" w:hAnsi="Arial" w:eastAsia="Arial"/>
        <w:b w:val="0"/>
        <w:color w:val="888888"/>
        <w:sz w:val="16"/>
      </w:rPr>
      <w:t>MIRMIBUG IT SOLUTIONS  ·  Manuales del Sistema Aura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