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D353FC3" w:rsidP="6302B2FA" w:rsidRDefault="4D353FC3" w14:paraId="58EB76E7" w14:textId="617539E9">
      <w:pPr>
        <w:shd w:val="clear" w:color="auto" w:fill="FFFFFF" w:themeFill="background1"/>
        <w:spacing w:before="0" w:before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302B2FA"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R</w:t>
      </w:r>
      <w:r w:rsidRPr="6302B2FA" w:rsidR="3CB01CE0">
        <w:rPr>
          <w:rFonts w:ascii="system-ui" w:hAnsi="system-ui" w:eastAsia="system-ui" w:cs="system-ui"/>
          <w:b w:val="1"/>
          <w:bCs w:val="1"/>
          <w:i w:val="0"/>
          <w:iCs w:val="0"/>
          <w:caps w:val="0"/>
          <w:smallCaps w:val="0"/>
          <w:noProof w:val="0"/>
          <w:color w:val="0D0D0D" w:themeColor="text1" w:themeTint="F2" w:themeShade="FF"/>
          <w:sz w:val="24"/>
          <w:szCs w:val="24"/>
          <w:lang w:val="en-US"/>
        </w:rPr>
        <w:t>evenue Generation</w:t>
      </w:r>
      <w:r w:rsidRPr="6302B2FA"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Memo</w:t>
      </w:r>
    </w:p>
    <w:p w:rsidR="4D353FC3" w:rsidRDefault="4D353FC3" w14:paraId="36A7CB3D" w14:textId="55947D35">
      <w:r w:rsidRPr="6302B2FA"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Date: February 28, 2024</w:t>
      </w:r>
    </w:p>
    <w:p w:rsidR="4D353FC3" w:rsidRDefault="4D353FC3" w14:paraId="00BBF311" w14:textId="7E09FD4F">
      <w:r w:rsidRPr="6302B2FA"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To: Dr Joy Opara</w:t>
      </w:r>
    </w:p>
    <w:p w:rsidR="4D353FC3" w:rsidRDefault="4D353FC3" w14:paraId="27EAAD6F" w14:textId="4F014C0F">
      <w:r w:rsidRPr="6302B2FA"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From: Kelvin Ibeh, </w:t>
      </w:r>
      <w:r w:rsidRPr="6302B2FA"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Victoria</w:t>
      </w:r>
      <w:r w:rsidRPr="6302B2FA"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w:t>
      </w:r>
      <w:r w:rsidRPr="6302B2FA"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Up</w:t>
      </w:r>
      <w:r w:rsidRPr="6302B2FA" w:rsidR="6F6D4925">
        <w:rPr>
          <w:rFonts w:ascii="system-ui" w:hAnsi="system-ui" w:eastAsia="system-ui" w:cs="system-ui"/>
          <w:b w:val="1"/>
          <w:bCs w:val="1"/>
          <w:i w:val="0"/>
          <w:iCs w:val="0"/>
          <w:caps w:val="0"/>
          <w:smallCaps w:val="0"/>
          <w:noProof w:val="0"/>
          <w:color w:val="0D0D0D" w:themeColor="text1" w:themeTint="F2" w:themeShade="FF"/>
          <w:sz w:val="24"/>
          <w:szCs w:val="24"/>
          <w:lang w:val="en-US"/>
        </w:rPr>
        <w:t>k</w:t>
      </w:r>
      <w:r w:rsidRPr="6302B2FA"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ong</w:t>
      </w:r>
      <w:r w:rsidRPr="6302B2FA"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w:t>
      </w:r>
    </w:p>
    <w:p w:rsidR="4D353FC3" w:rsidRDefault="4D353FC3" w14:paraId="20AA5AFB" w14:textId="7C1C9EE5">
      <w:r w:rsidRPr="6302B2FA"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Subject: Exploring Additional Revenue Generation Opportunities for Caterandmerger</w:t>
      </w:r>
    </w:p>
    <w:p w:rsidR="4D353FC3" w:rsidP="6302B2FA" w:rsidRDefault="4D353FC3" w14:paraId="4FABA368" w14:textId="28AD5377">
      <w:pP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302B2FA"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Introduction:</w:t>
      </w:r>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Caterandmerger</w:t>
      </w:r>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 prominent organization in the field of </w:t>
      </w:r>
      <w:r w:rsidRPr="6302B2FA" w:rsidR="2EF8695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fostering Investment Opportunities in agribusiness, </w:t>
      </w:r>
      <w:r w:rsidRPr="6302B2FA" w:rsidR="5DD1B8BD">
        <w:rPr>
          <w:rFonts w:ascii="system-ui" w:hAnsi="system-ui" w:eastAsia="system-ui" w:cs="system-ui"/>
          <w:b w:val="0"/>
          <w:bCs w:val="0"/>
          <w:i w:val="0"/>
          <w:iCs w:val="0"/>
          <w:caps w:val="0"/>
          <w:smallCaps w:val="0"/>
          <w:noProof w:val="0"/>
          <w:color w:val="0D0D0D" w:themeColor="text1" w:themeTint="F2" w:themeShade="FF"/>
          <w:sz w:val="24"/>
          <w:szCs w:val="24"/>
          <w:lang w:val="en-US"/>
        </w:rPr>
        <w:t>AgriTech</w:t>
      </w:r>
      <w:r w:rsidRPr="6302B2FA" w:rsidR="2EF8695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w:t>
      </w:r>
      <w:r w:rsidRPr="6302B2FA" w:rsidR="0473E59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conducting seminar to educate </w:t>
      </w:r>
      <w:r w:rsidRPr="6302B2FA" w:rsidR="15F23AE7">
        <w:rPr>
          <w:rFonts w:ascii="system-ui" w:hAnsi="system-ui" w:eastAsia="system-ui" w:cs="system-ui"/>
          <w:b w:val="0"/>
          <w:bCs w:val="0"/>
          <w:i w:val="0"/>
          <w:iCs w:val="0"/>
          <w:caps w:val="0"/>
          <w:smallCaps w:val="0"/>
          <w:noProof w:val="0"/>
          <w:color w:val="0D0D0D" w:themeColor="text1" w:themeTint="F2" w:themeShade="FF"/>
          <w:sz w:val="24"/>
          <w:szCs w:val="24"/>
          <w:lang w:val="en-US"/>
        </w:rPr>
        <w:t>its</w:t>
      </w:r>
      <w:r w:rsidRPr="6302B2FA" w:rsidR="0473E59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audience on climate change and the opportunities it </w:t>
      </w:r>
      <w:r w:rsidRPr="6302B2FA" w:rsidR="0E4353E9">
        <w:rPr>
          <w:rFonts w:ascii="system-ui" w:hAnsi="system-ui" w:eastAsia="system-ui" w:cs="system-ui"/>
          <w:b w:val="0"/>
          <w:bCs w:val="0"/>
          <w:i w:val="0"/>
          <w:iCs w:val="0"/>
          <w:caps w:val="0"/>
          <w:smallCaps w:val="0"/>
          <w:noProof w:val="0"/>
          <w:color w:val="0D0D0D" w:themeColor="text1" w:themeTint="F2" w:themeShade="FF"/>
          <w:sz w:val="24"/>
          <w:szCs w:val="24"/>
          <w:lang w:val="en-US"/>
        </w:rPr>
        <w:t>attracts</w:t>
      </w:r>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 has been exploring avenues for diversifying its revenue streams beyond its core business activities. This memo outlines potential opportunities for revenue generation through various channels, including local seminars and training, paid webinars, foreign sponsors for climate/governance training, and the incorporation of research guides.</w:t>
      </w:r>
    </w:p>
    <w:p w:rsidR="4D353FC3" w:rsidRDefault="4D353FC3" w14:paraId="7A96AE4D" w14:textId="5BFF904C">
      <w:r w:rsidRPr="6302B2FA"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1. Running Local Seminars and Training with State and Ministries:</w:t>
      </w:r>
    </w:p>
    <w:p w:rsidR="4D353FC3" w:rsidP="6302B2FA" w:rsidRDefault="4D353FC3" w14:paraId="65CE7193" w14:textId="291B673F">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302B2FA"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Rationale:</w:t>
      </w:r>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Collaborating with state and ministry authorities to conduct local seminars and training sessions can provide Caterandmerger with a steady source of revenue while also establishing the organization as a reputable entity in the eyes of governmental bodies.</w:t>
      </w:r>
    </w:p>
    <w:p w:rsidR="4D353FC3" w:rsidP="6302B2FA" w:rsidRDefault="4D353FC3" w14:paraId="731DB426" w14:textId="4DE96C7B">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302B2FA"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Action Steps:</w:t>
      </w:r>
    </w:p>
    <w:p w:rsidR="4D353FC3" w:rsidP="6302B2FA" w:rsidRDefault="4D353FC3" w14:paraId="16961E1C" w14:textId="2D4576ED">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Identify key areas of interest or concern for state and ministry authorities.</w:t>
      </w:r>
    </w:p>
    <w:p w:rsidR="4D353FC3" w:rsidP="6302B2FA" w:rsidRDefault="4D353FC3" w14:paraId="17F1F3B5" w14:textId="07805C59">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Develop comprehensive seminar and training modules tailored to address these specific needs.</w:t>
      </w:r>
    </w:p>
    <w:p w:rsidR="4D353FC3" w:rsidP="6302B2FA" w:rsidRDefault="4D353FC3" w14:paraId="61672EEF" w14:textId="22F2F40F">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Reach out to relevant government departments to propose partnership opportunities.</w:t>
      </w:r>
    </w:p>
    <w:p w:rsidR="4D353FC3" w:rsidP="6302B2FA" w:rsidRDefault="4D353FC3" w14:paraId="7CA503D9" w14:textId="510DD282">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Market the seminars and training sessions to target audiences through both traditional and digital channels.</w:t>
      </w:r>
    </w:p>
    <w:p w:rsidR="4D353FC3" w:rsidRDefault="4D353FC3" w14:paraId="595686D5" w14:textId="7648775D">
      <w:r w:rsidRPr="6302B2FA"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2. Paid Webinars:</w:t>
      </w:r>
    </w:p>
    <w:p w:rsidR="4D353FC3" w:rsidP="6302B2FA" w:rsidRDefault="4D353FC3" w14:paraId="2D6628A2" w14:textId="463BA560">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302B2FA"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Rationale:</w:t>
      </w:r>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Webinars offer a convenient and cost-effective platform for delivering educational content to a wide audience. By offering paid webinars on topics related to catering, event management, and related industries, Caterandmerger can monetize its expertise and reach a broader demographic.</w:t>
      </w:r>
    </w:p>
    <w:p w:rsidR="4D353FC3" w:rsidP="6302B2FA" w:rsidRDefault="4D353FC3" w14:paraId="6C918278" w14:textId="69B2D73E">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302B2FA"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Action Steps:</w:t>
      </w:r>
    </w:p>
    <w:p w:rsidR="4D353FC3" w:rsidP="6302B2FA" w:rsidRDefault="4D353FC3" w14:paraId="7015CAF9" w14:textId="79899955">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Conduct market research to identify trending topics and areas of interest within the target demographic.</w:t>
      </w:r>
    </w:p>
    <w:p w:rsidR="4D353FC3" w:rsidP="6302B2FA" w:rsidRDefault="4D353FC3" w14:paraId="5F0ADE38" w14:textId="7CB73476">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Develop high-quality webinar content with engaging visuals and interactive elements.</w:t>
      </w:r>
    </w:p>
    <w:p w:rsidR="4D353FC3" w:rsidP="6302B2FA" w:rsidRDefault="4D353FC3" w14:paraId="3BBE03AC" w14:textId="0AFF2308">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Set competitive pricing structures based on the value proposition and market demand.</w:t>
      </w:r>
    </w:p>
    <w:p w:rsidR="4D353FC3" w:rsidP="6302B2FA" w:rsidRDefault="4D353FC3" w14:paraId="184297D7" w14:textId="6747D3A7">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Promote webinars through email marketing, social media, and partnerships with relevant industry influencers.</w:t>
      </w:r>
    </w:p>
    <w:p w:rsidR="4D353FC3" w:rsidRDefault="4D353FC3" w14:paraId="385AD14A" w14:textId="74F68997">
      <w:r w:rsidRPr="6302B2FA"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3. Foreign Sponsors for Climate/Governance Trainings:</w:t>
      </w:r>
    </w:p>
    <w:p w:rsidR="4D353FC3" w:rsidP="6302B2FA" w:rsidRDefault="4D353FC3" w14:paraId="4AB654A0" w14:textId="2E25D591">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302B2FA"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Rationale:</w:t>
      </w:r>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 today's globalized world, there is growing interest and concern regarding climate change and governance issues. Securing sponsorship from foreign entities interested in supporting initiatives related to these topics can provide Caterandmerger with additional revenue streams while also promoting social responsibility.</w:t>
      </w:r>
    </w:p>
    <w:p w:rsidR="4D353FC3" w:rsidP="6302B2FA" w:rsidRDefault="4D353FC3" w14:paraId="1732B43D" w14:textId="0E88B296">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302B2FA"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Action Steps:</w:t>
      </w:r>
    </w:p>
    <w:p w:rsidR="4D353FC3" w:rsidP="6302B2FA" w:rsidRDefault="4D353FC3" w14:paraId="708A2B59" w14:textId="4FD8AFF5">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Identify potential foreign sponsors with a vested interest in climate change mitigation, sustainable development, or governance reform.</w:t>
      </w:r>
    </w:p>
    <w:p w:rsidR="4D353FC3" w:rsidP="6302B2FA" w:rsidRDefault="4D353FC3" w14:paraId="685F5B2F" w14:textId="1814D610">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Craft compelling sponsorship proposals highlighting the alignment between the sponsor's values and Caterandmerger's initiatives.</w:t>
      </w:r>
    </w:p>
    <w:p w:rsidR="4D353FC3" w:rsidP="6302B2FA" w:rsidRDefault="4D353FC3" w14:paraId="6C68B482" w14:textId="10D7C7E0">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Establish clear deliverables and benefits for sponsors, such as brand visibility, networking opportunities, and access to exclusive events.</w:t>
      </w:r>
    </w:p>
    <w:p w:rsidR="4D353FC3" w:rsidP="6302B2FA" w:rsidRDefault="4D353FC3" w14:paraId="40F2AA51" w14:textId="64DA16C4">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Cultivate relationships with potential sponsors through personalized outreach and networking efforts.</w:t>
      </w:r>
    </w:p>
    <w:p w:rsidR="4D353FC3" w:rsidRDefault="4D353FC3" w14:paraId="14A4D392" w14:textId="24625B34">
      <w:r w:rsidRPr="6302B2FA"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4. Incorporation of Research Guides and Other Information:</w:t>
      </w:r>
    </w:p>
    <w:p w:rsidR="4D353FC3" w:rsidP="6302B2FA" w:rsidRDefault="4D353FC3" w14:paraId="78C405C6" w14:textId="3632B86F">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302B2FA"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Rationale:</w:t>
      </w:r>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Providing comprehensive research guides and informational resources can add value to Caterandmerger's offerings while also serving as a revenue-generating opportunity. These guides can cover a wide range of topics relevant to the catering and event management industry, offering insights, best practices, and practical tips.</w:t>
      </w:r>
    </w:p>
    <w:p w:rsidR="4D353FC3" w:rsidP="6302B2FA" w:rsidRDefault="4D353FC3" w14:paraId="52D6AD09" w14:textId="2536B6F3">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302B2FA"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Action Steps:</w:t>
      </w:r>
    </w:p>
    <w:p w:rsidR="4D353FC3" w:rsidP="6302B2FA" w:rsidRDefault="4D353FC3" w14:paraId="0C960277" w14:textId="0536BC57">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Develop in-depth research guides covering various aspects of catering, event planning, and related topics.</w:t>
      </w:r>
    </w:p>
    <w:p w:rsidR="4D353FC3" w:rsidP="6302B2FA" w:rsidRDefault="4D353FC3" w14:paraId="3DDCCA46" w14:textId="0FA78440">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Offer these guides as downloadable resources through a dedicated section on Caterandmerger's website.</w:t>
      </w:r>
    </w:p>
    <w:p w:rsidR="4D353FC3" w:rsidP="6302B2FA" w:rsidRDefault="4D353FC3" w14:paraId="3AC0CB86" w14:textId="0B467168">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Implement a subscription-based model or one-time purchase option for accessing premium content.</w:t>
      </w:r>
    </w:p>
    <w:p w:rsidR="4D353FC3" w:rsidP="6302B2FA" w:rsidRDefault="4D353FC3" w14:paraId="0282B5AD" w14:textId="547E935F">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Leverage email marketing and content marketing strategies to promote the availability of these resources to Caterandmerger's audience.</w:t>
      </w:r>
    </w:p>
    <w:p w:rsidR="4D353FC3" w:rsidRDefault="4D353FC3" w14:paraId="36F07CF3" w14:textId="598D7396">
      <w:r w:rsidRPr="6302B2FA"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Conclusion:</w:t>
      </w:r>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Exploring alternative revenue generation opportunities is essential for Caterandmerger to sustain its growth and adapt to evolving market dynamics. By leveraging local seminars, paid webinars, foreign sponsorships, and research guides, Caterandmerger can diversify its revenue streams while providing valuable educational resources to its audience. Implementing these strategies requires careful planning, strategic partnerships, and a commitment to delivering high-quality content and services.</w:t>
      </w:r>
    </w:p>
    <w:p w:rsidR="4D353FC3" w:rsidRDefault="4D353FC3" w14:paraId="258E6819" w14:textId="3DC51A49">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Please let me know if you need further clarification or assistance with any of the outlined strategies.</w:t>
      </w:r>
    </w:p>
    <w:p w:rsidR="4D353FC3" w:rsidP="6302B2FA" w:rsidRDefault="4D353FC3" w14:paraId="7E85AF32" w14:textId="780FB845">
      <w:pPr>
        <w:shd w:val="clear" w:color="auto" w:fill="FFFFFF" w:themeFill="background1"/>
        <w:spacing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Best regards,</w:t>
      </w:r>
      <w:r>
        <w:br/>
      </w:r>
      <w:r w:rsidRPr="6302B2FA"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302B2FA" w:rsidR="5A186D8F">
        <w:rPr>
          <w:rFonts w:ascii="system-ui" w:hAnsi="system-ui" w:eastAsia="system-ui" w:cs="system-ui"/>
          <w:b w:val="0"/>
          <w:bCs w:val="0"/>
          <w:i w:val="0"/>
          <w:iCs w:val="0"/>
          <w:caps w:val="0"/>
          <w:smallCaps w:val="0"/>
          <w:noProof w:val="0"/>
          <w:color w:val="0D0D0D" w:themeColor="text1" w:themeTint="F2" w:themeShade="FF"/>
          <w:sz w:val="24"/>
          <w:szCs w:val="24"/>
          <w:lang w:val="en-US"/>
        </w:rPr>
        <w:t>Kelvin Ibeh</w:t>
      </w:r>
    </w:p>
    <w:p w:rsidR="6302B2FA" w:rsidP="6302B2FA" w:rsidRDefault="6302B2FA" w14:paraId="175A04F0" w14:textId="712EAC2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fd7bc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dff1b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A00784"/>
    <w:rsid w:val="0473E598"/>
    <w:rsid w:val="0E4353E9"/>
    <w:rsid w:val="15F23AE7"/>
    <w:rsid w:val="1C5EB650"/>
    <w:rsid w:val="2EF8695F"/>
    <w:rsid w:val="3CB01CE0"/>
    <w:rsid w:val="42239054"/>
    <w:rsid w:val="4BA21B9E"/>
    <w:rsid w:val="4D353FC3"/>
    <w:rsid w:val="558419A7"/>
    <w:rsid w:val="58BBAFD1"/>
    <w:rsid w:val="5A186D8F"/>
    <w:rsid w:val="5DD1B8BD"/>
    <w:rsid w:val="5E3F1BE8"/>
    <w:rsid w:val="6302B2FA"/>
    <w:rsid w:val="642EDF1A"/>
    <w:rsid w:val="6F6D4925"/>
    <w:rsid w:val="72A00784"/>
    <w:rsid w:val="759F1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0784"/>
  <w15:chartTrackingRefBased/>
  <w15:docId w15:val="{26A4D938-6A63-4AEE-8DC1-3922477E81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d201ce8519346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2024-01-02T04:29:22.4804595Z</dcterms:created>
  <dcterms:modified xsi:type="dcterms:W3CDTF">2024-02-28T06:42:30.7726071Z</dcterms:modified>
  <dc:creator>kelvin ibeh</dc:creator>
  <lastModifiedBy>kelvin ibeh</lastModifiedBy>
</coreProperties>
</file>